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Theme="majorEastAsia" w:hAnsiTheme="majorEastAsia" w:eastAsiaTheme="majorEastAsia" w:cstheme="majorEastAsia"/>
          <w:sz w:val="48"/>
          <w:szCs w:val="48"/>
          <w:lang w:eastAsia="zh-CN"/>
        </w:rPr>
      </w:pPr>
    </w:p>
    <w:p>
      <w:pPr>
        <w:jc w:val="center"/>
        <w:rPr>
          <w:rFonts w:hint="eastAsia" w:asciiTheme="majorEastAsia" w:hAnsiTheme="majorEastAsia" w:eastAsiaTheme="majorEastAsia" w:cstheme="majorEastAsia"/>
          <w:sz w:val="48"/>
          <w:szCs w:val="48"/>
          <w:lang w:eastAsia="zh-CN"/>
        </w:rPr>
      </w:pPr>
      <w:r>
        <w:rPr>
          <w:rFonts w:hint="eastAsia" w:asciiTheme="majorEastAsia" w:hAnsiTheme="majorEastAsia" w:eastAsiaTheme="majorEastAsia" w:cstheme="majorEastAsia"/>
          <w:sz w:val="48"/>
          <w:szCs w:val="48"/>
          <w:lang w:val="en-US" w:eastAsia="zh-CN"/>
        </w:rPr>
        <w:t>贵州省剑河至黎平高速公路TJ-2标段清水江特大桥钢混组合梁项目加工制作劳务委外</w:t>
      </w:r>
      <w:r>
        <w:rPr>
          <w:rFonts w:hint="eastAsia" w:asciiTheme="majorEastAsia" w:hAnsiTheme="majorEastAsia" w:eastAsiaTheme="majorEastAsia" w:cstheme="majorEastAsia"/>
          <w:sz w:val="48"/>
          <w:szCs w:val="48"/>
          <w:lang w:eastAsia="zh-CN"/>
        </w:rPr>
        <w:t>招标文件</w:t>
      </w:r>
    </w:p>
    <w:p>
      <w:pPr>
        <w:jc w:val="center"/>
        <w:rPr>
          <w:rFonts w:hint="eastAsia" w:asciiTheme="majorEastAsia" w:hAnsiTheme="majorEastAsia" w:eastAsiaTheme="majorEastAsia" w:cstheme="majorEastAsia"/>
          <w:sz w:val="48"/>
          <w:szCs w:val="48"/>
          <w:lang w:eastAsia="zh-CN"/>
        </w:rPr>
      </w:pPr>
    </w:p>
    <w:p>
      <w:pPr>
        <w:jc w:val="center"/>
        <w:rPr>
          <w:rFonts w:hint="eastAsia" w:asciiTheme="majorEastAsia" w:hAnsiTheme="majorEastAsia" w:eastAsiaTheme="majorEastAsia" w:cstheme="majorEastAsia"/>
          <w:sz w:val="48"/>
          <w:szCs w:val="48"/>
          <w:lang w:eastAsia="zh-CN"/>
        </w:rPr>
      </w:pPr>
    </w:p>
    <w:p>
      <w:pPr>
        <w:jc w:val="center"/>
        <w:rPr>
          <w:rFonts w:hint="eastAsia" w:asciiTheme="majorEastAsia" w:hAnsiTheme="majorEastAsia" w:eastAsiaTheme="majorEastAsia" w:cstheme="majorEastAsia"/>
          <w:sz w:val="48"/>
          <w:szCs w:val="48"/>
          <w:lang w:eastAsia="zh-CN"/>
        </w:rPr>
      </w:pPr>
    </w:p>
    <w:p>
      <w:pPr>
        <w:jc w:val="center"/>
        <w:rPr>
          <w:rFonts w:hint="eastAsia" w:asciiTheme="majorEastAsia" w:hAnsiTheme="majorEastAsia" w:eastAsiaTheme="majorEastAsia" w:cstheme="majorEastAsia"/>
          <w:sz w:val="48"/>
          <w:szCs w:val="48"/>
          <w:lang w:eastAsia="zh-CN"/>
        </w:rPr>
      </w:pPr>
    </w:p>
    <w:p>
      <w:pPr>
        <w:jc w:val="center"/>
        <w:rPr>
          <w:rFonts w:hint="eastAsia" w:asciiTheme="majorEastAsia" w:hAnsiTheme="majorEastAsia" w:eastAsiaTheme="majorEastAsia" w:cstheme="majorEastAsia"/>
          <w:sz w:val="48"/>
          <w:szCs w:val="48"/>
          <w:lang w:eastAsia="zh-CN"/>
        </w:rPr>
      </w:pPr>
    </w:p>
    <w:p>
      <w:pPr>
        <w:jc w:val="center"/>
        <w:rPr>
          <w:rFonts w:hint="eastAsia" w:asciiTheme="majorEastAsia" w:hAnsiTheme="majorEastAsia" w:eastAsiaTheme="majorEastAsia" w:cstheme="majorEastAsia"/>
          <w:sz w:val="48"/>
          <w:szCs w:val="48"/>
          <w:lang w:eastAsia="zh-CN"/>
        </w:rPr>
      </w:pPr>
    </w:p>
    <w:p>
      <w:pPr>
        <w:jc w:val="center"/>
        <w:rPr>
          <w:rFonts w:hint="eastAsia" w:asciiTheme="majorEastAsia" w:hAnsiTheme="majorEastAsia" w:eastAsiaTheme="majorEastAsia" w:cstheme="majorEastAsia"/>
          <w:sz w:val="48"/>
          <w:szCs w:val="48"/>
          <w:lang w:eastAsia="zh-CN"/>
        </w:rPr>
      </w:pPr>
    </w:p>
    <w:p>
      <w:pPr>
        <w:jc w:val="center"/>
        <w:rPr>
          <w:rFonts w:hint="eastAsia" w:asciiTheme="majorEastAsia" w:hAnsiTheme="majorEastAsia" w:eastAsiaTheme="majorEastAsia" w:cstheme="majorEastAsia"/>
          <w:sz w:val="48"/>
          <w:szCs w:val="48"/>
          <w:lang w:eastAsia="zh-CN"/>
        </w:rPr>
      </w:pPr>
    </w:p>
    <w:p>
      <w:pPr>
        <w:jc w:val="center"/>
        <w:rPr>
          <w:rFonts w:hint="eastAsia" w:asciiTheme="majorEastAsia" w:hAnsiTheme="majorEastAsia" w:eastAsiaTheme="majorEastAsia" w:cstheme="majorEastAsia"/>
          <w:sz w:val="48"/>
          <w:szCs w:val="48"/>
          <w:lang w:eastAsia="zh-CN"/>
        </w:rPr>
      </w:pPr>
    </w:p>
    <w:p>
      <w:pPr>
        <w:jc w:val="center"/>
        <w:rPr>
          <w:rFonts w:hint="eastAsia" w:asciiTheme="majorEastAsia" w:hAnsiTheme="majorEastAsia" w:eastAsiaTheme="majorEastAsia" w:cstheme="majorEastAsia"/>
          <w:sz w:val="48"/>
          <w:szCs w:val="48"/>
          <w:lang w:eastAsia="zh-CN"/>
        </w:rPr>
      </w:pPr>
    </w:p>
    <w:p>
      <w:pPr>
        <w:jc w:val="center"/>
        <w:rPr>
          <w:rFonts w:hint="eastAsia" w:asciiTheme="majorEastAsia" w:hAnsiTheme="majorEastAsia" w:eastAsiaTheme="majorEastAsia" w:cstheme="majorEastAsia"/>
          <w:sz w:val="48"/>
          <w:szCs w:val="48"/>
          <w:lang w:eastAsia="zh-CN"/>
        </w:rPr>
      </w:pPr>
    </w:p>
    <w:tbl>
      <w:tblPr>
        <w:tblStyle w:val="6"/>
        <w:tblW w:w="854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0"/>
        <w:gridCol w:w="65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2" w:hRule="atLeast"/>
          <w:jc w:val="center"/>
        </w:trPr>
        <w:tc>
          <w:tcPr>
            <w:tcW w:w="1980"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宋体" w:hAnsi="宋体" w:eastAsia="宋体" w:cs="宋体"/>
                <w:sz w:val="28"/>
                <w:szCs w:val="28"/>
              </w:rPr>
            </w:pPr>
            <w:r>
              <w:rPr>
                <w:rFonts w:hint="eastAsia" w:ascii="宋体" w:hAnsi="宋体" w:eastAsia="宋体" w:cs="宋体"/>
                <w:sz w:val="28"/>
                <w:szCs w:val="28"/>
              </w:rPr>
              <w:t>招 标 人</w:t>
            </w:r>
          </w:p>
        </w:tc>
        <w:tc>
          <w:tcPr>
            <w:tcW w:w="6564" w:type="dxa"/>
            <w:tcBorders>
              <w:top w:val="single" w:color="auto" w:sz="4" w:space="0"/>
              <w:left w:val="single" w:color="auto" w:sz="4" w:space="0"/>
              <w:bottom w:val="single" w:color="auto" w:sz="4" w:space="0"/>
              <w:right w:val="single" w:color="auto" w:sz="4" w:space="0"/>
            </w:tcBorders>
            <w:vAlign w:val="center"/>
          </w:tcPr>
          <w:p>
            <w:pPr>
              <w:spacing w:line="440" w:lineRule="exact"/>
              <w:rPr>
                <w:rFonts w:hint="eastAsia" w:ascii="宋体" w:hAnsi="宋体" w:eastAsia="宋体" w:cs="宋体"/>
                <w:sz w:val="28"/>
                <w:szCs w:val="28"/>
              </w:rPr>
            </w:pPr>
            <w:r>
              <w:rPr>
                <w:rFonts w:hint="eastAsia" w:ascii="宋体" w:hAnsi="宋体" w:eastAsia="宋体" w:cs="宋体"/>
                <w:sz w:val="28"/>
                <w:szCs w:val="28"/>
              </w:rPr>
              <w:t>贵州汇通申发钢结构有限公司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1980"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宋体" w:hAnsi="宋体" w:eastAsia="宋体" w:cs="宋体"/>
                <w:sz w:val="28"/>
                <w:szCs w:val="28"/>
              </w:rPr>
            </w:pPr>
            <w:r>
              <w:rPr>
                <w:rFonts w:hint="eastAsia" w:ascii="宋体" w:hAnsi="宋体" w:eastAsia="宋体" w:cs="宋体"/>
                <w:sz w:val="28"/>
                <w:szCs w:val="28"/>
              </w:rPr>
              <w:t>地   址</w:t>
            </w:r>
          </w:p>
        </w:tc>
        <w:tc>
          <w:tcPr>
            <w:tcW w:w="6564" w:type="dxa"/>
            <w:tcBorders>
              <w:top w:val="single" w:color="auto" w:sz="4" w:space="0"/>
              <w:left w:val="single" w:color="auto" w:sz="4" w:space="0"/>
              <w:bottom w:val="single" w:color="auto" w:sz="4" w:space="0"/>
              <w:right w:val="single" w:color="auto" w:sz="4" w:space="0"/>
            </w:tcBorders>
            <w:vAlign w:val="center"/>
          </w:tcPr>
          <w:p>
            <w:pPr>
              <w:spacing w:line="440" w:lineRule="exact"/>
              <w:rPr>
                <w:rFonts w:hint="eastAsia" w:ascii="宋体" w:hAnsi="宋体" w:eastAsia="宋体" w:cs="宋体"/>
                <w:sz w:val="28"/>
                <w:szCs w:val="28"/>
              </w:rPr>
            </w:pPr>
            <w:r>
              <w:rPr>
                <w:rFonts w:hint="eastAsia" w:ascii="宋体" w:hAnsi="宋体" w:eastAsia="宋体" w:cs="宋体"/>
                <w:sz w:val="28"/>
                <w:szCs w:val="28"/>
              </w:rPr>
              <w:t>贵州省贵阳市修文县久长镇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1980"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宋体" w:hAnsi="宋体" w:eastAsia="宋体" w:cs="宋体"/>
                <w:sz w:val="28"/>
                <w:szCs w:val="28"/>
              </w:rPr>
            </w:pPr>
            <w:r>
              <w:rPr>
                <w:rFonts w:hint="eastAsia" w:ascii="宋体" w:hAnsi="宋体" w:eastAsia="宋体" w:cs="宋体"/>
                <w:sz w:val="28"/>
                <w:szCs w:val="28"/>
              </w:rPr>
              <w:t>联系人</w:t>
            </w:r>
          </w:p>
        </w:tc>
        <w:tc>
          <w:tcPr>
            <w:tcW w:w="6564" w:type="dxa"/>
            <w:tcBorders>
              <w:top w:val="single" w:color="auto" w:sz="4" w:space="0"/>
              <w:left w:val="single" w:color="auto" w:sz="4" w:space="0"/>
              <w:bottom w:val="single" w:color="auto" w:sz="4" w:space="0"/>
              <w:right w:val="single" w:color="auto" w:sz="4" w:space="0"/>
            </w:tcBorders>
            <w:vAlign w:val="center"/>
          </w:tcPr>
          <w:p>
            <w:pPr>
              <w:spacing w:line="440" w:lineRule="exact"/>
              <w:rPr>
                <w:rFonts w:hint="default" w:ascii="宋体" w:hAnsi="宋体" w:eastAsia="宋体" w:cs="宋体"/>
                <w:sz w:val="28"/>
                <w:szCs w:val="28"/>
                <w:lang w:val="en-US" w:eastAsia="zh-CN"/>
              </w:rPr>
            </w:pPr>
            <w:r>
              <w:rPr>
                <w:rFonts w:hint="eastAsia" w:ascii="宋体" w:hAnsi="宋体" w:eastAsia="宋体" w:cs="宋体"/>
                <w:sz w:val="28"/>
                <w:szCs w:val="28"/>
                <w:lang w:val="en-US" w:eastAsia="zh-CN"/>
              </w:rPr>
              <w:t>高开放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1980"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宋体" w:hAnsi="宋体" w:eastAsia="宋体" w:cs="宋体"/>
                <w:sz w:val="28"/>
                <w:szCs w:val="28"/>
              </w:rPr>
            </w:pPr>
            <w:r>
              <w:rPr>
                <w:rFonts w:hint="eastAsia" w:ascii="宋体" w:hAnsi="宋体" w:eastAsia="宋体" w:cs="宋体"/>
                <w:sz w:val="28"/>
                <w:szCs w:val="28"/>
              </w:rPr>
              <w:t>邮编</w:t>
            </w:r>
          </w:p>
        </w:tc>
        <w:tc>
          <w:tcPr>
            <w:tcW w:w="6564" w:type="dxa"/>
            <w:tcBorders>
              <w:top w:val="single" w:color="auto" w:sz="4" w:space="0"/>
              <w:left w:val="single" w:color="auto" w:sz="4" w:space="0"/>
              <w:bottom w:val="single" w:color="auto" w:sz="4" w:space="0"/>
              <w:right w:val="single" w:color="auto" w:sz="4" w:space="0"/>
            </w:tcBorders>
            <w:vAlign w:val="center"/>
          </w:tcPr>
          <w:p>
            <w:pPr>
              <w:spacing w:line="440" w:lineRule="exact"/>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550017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2" w:hRule="atLeast"/>
          <w:jc w:val="center"/>
        </w:trPr>
        <w:tc>
          <w:tcPr>
            <w:tcW w:w="1980"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宋体" w:hAnsi="宋体" w:eastAsia="宋体" w:cs="宋体"/>
                <w:sz w:val="28"/>
                <w:szCs w:val="28"/>
              </w:rPr>
            </w:pPr>
            <w:r>
              <w:rPr>
                <w:rFonts w:hint="eastAsia" w:ascii="宋体" w:hAnsi="宋体" w:eastAsia="宋体" w:cs="宋体"/>
                <w:sz w:val="28"/>
                <w:szCs w:val="28"/>
              </w:rPr>
              <w:t>电话</w:t>
            </w:r>
          </w:p>
        </w:tc>
        <w:tc>
          <w:tcPr>
            <w:tcW w:w="6564" w:type="dxa"/>
            <w:tcBorders>
              <w:top w:val="single" w:color="auto" w:sz="4" w:space="0"/>
              <w:left w:val="single" w:color="auto" w:sz="4" w:space="0"/>
              <w:bottom w:val="single" w:color="auto" w:sz="4" w:space="0"/>
              <w:right w:val="single" w:color="auto" w:sz="4" w:space="0"/>
            </w:tcBorders>
            <w:vAlign w:val="center"/>
          </w:tcPr>
          <w:p>
            <w:pPr>
              <w:spacing w:line="440" w:lineRule="exact"/>
              <w:rPr>
                <w:rFonts w:hint="default" w:ascii="宋体" w:hAnsi="宋体" w:eastAsia="宋体" w:cs="宋体"/>
                <w:sz w:val="28"/>
                <w:szCs w:val="28"/>
                <w:lang w:val="en-US" w:eastAsia="zh-CN"/>
              </w:rPr>
            </w:pPr>
            <w:r>
              <w:rPr>
                <w:rFonts w:hint="eastAsia" w:ascii="宋体" w:hAnsi="宋体" w:eastAsia="宋体" w:cs="宋体"/>
                <w:sz w:val="28"/>
                <w:szCs w:val="28"/>
                <w:lang w:val="en-US" w:eastAsia="zh-CN"/>
              </w:rPr>
              <w:t>18286361694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4" w:hRule="atLeast"/>
          <w:jc w:val="center"/>
        </w:trPr>
        <w:tc>
          <w:tcPr>
            <w:tcW w:w="1980"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宋体" w:hAnsi="宋体" w:eastAsia="宋体" w:cs="宋体"/>
                <w:sz w:val="28"/>
                <w:szCs w:val="28"/>
                <w:lang w:eastAsia="zh-CN"/>
              </w:rPr>
            </w:pPr>
            <w:r>
              <w:rPr>
                <w:rFonts w:hint="eastAsia" w:ascii="宋体" w:hAnsi="宋体" w:eastAsia="宋体" w:cs="宋体"/>
                <w:sz w:val="28"/>
                <w:szCs w:val="28"/>
                <w:lang w:eastAsia="zh-CN"/>
              </w:rPr>
              <w:t>邮箱</w:t>
            </w:r>
          </w:p>
        </w:tc>
        <w:tc>
          <w:tcPr>
            <w:tcW w:w="6564" w:type="dxa"/>
            <w:tcBorders>
              <w:top w:val="single" w:color="auto" w:sz="4" w:space="0"/>
              <w:left w:val="single" w:color="auto" w:sz="4" w:space="0"/>
              <w:bottom w:val="single" w:color="auto" w:sz="4" w:space="0"/>
              <w:right w:val="single" w:color="auto" w:sz="4" w:space="0"/>
            </w:tcBorders>
            <w:vAlign w:val="center"/>
          </w:tcPr>
          <w:p>
            <w:pPr>
              <w:spacing w:line="440" w:lineRule="exact"/>
              <w:rPr>
                <w:rFonts w:hint="eastAsia" w:ascii="宋体" w:hAnsi="宋体" w:eastAsia="宋体" w:cs="宋体"/>
                <w:sz w:val="28"/>
                <w:szCs w:val="28"/>
              </w:rPr>
            </w:pPr>
            <w:r>
              <w:rPr>
                <w:rFonts w:hint="eastAsia" w:ascii="宋体" w:hAnsi="宋体" w:cs="宋体"/>
                <w:sz w:val="28"/>
                <w:szCs w:val="28"/>
                <w:lang w:val="en-US" w:eastAsia="zh-CN"/>
              </w:rPr>
              <w:t>gygjg@crrcgc.cc</w:t>
            </w:r>
          </w:p>
        </w:tc>
      </w:tr>
    </w:tbl>
    <w:p>
      <w:pPr>
        <w:jc w:val="center"/>
        <w:rPr>
          <w:rFonts w:hint="eastAsia" w:asciiTheme="majorEastAsia" w:hAnsiTheme="majorEastAsia" w:eastAsiaTheme="majorEastAsia" w:cstheme="majorEastAsia"/>
          <w:sz w:val="48"/>
          <w:szCs w:val="48"/>
          <w:lang w:eastAsia="zh-CN"/>
        </w:rPr>
      </w:pPr>
      <w:r>
        <w:rPr>
          <w:rFonts w:hint="eastAsia" w:asciiTheme="majorEastAsia" w:hAnsiTheme="majorEastAsia" w:eastAsiaTheme="majorEastAsia" w:cstheme="majorEastAsia"/>
          <w:sz w:val="48"/>
          <w:szCs w:val="48"/>
          <w:lang w:eastAsia="zh-CN"/>
        </w:rPr>
        <w:br w:type="page"/>
      </w:r>
    </w:p>
    <w:p>
      <w:pPr>
        <w:keepNext w:val="0"/>
        <w:keepLines w:val="0"/>
        <w:pageBreakBefore w:val="0"/>
        <w:widowControl w:val="0"/>
        <w:numPr>
          <w:ilvl w:val="0"/>
          <w:numId w:val="1"/>
        </w:numPr>
        <w:kinsoku/>
        <w:wordWrap/>
        <w:overflowPunct/>
        <w:topLinePunct w:val="0"/>
        <w:autoSpaceDE/>
        <w:autoSpaceDN/>
        <w:bidi w:val="0"/>
        <w:adjustRightInd/>
        <w:snapToGrid/>
        <w:spacing w:line="540" w:lineRule="exact"/>
        <w:ind w:left="425" w:leftChars="0" w:right="0" w:rightChars="0" w:hanging="425" w:firstLineChars="0"/>
        <w:jc w:val="left"/>
        <w:textAlignment w:val="auto"/>
        <w:outlineLvl w:val="9"/>
        <w:rPr>
          <w:rFonts w:hint="eastAsia" w:ascii="宋体" w:hAnsi="宋体" w:eastAsia="宋体" w:cs="宋体"/>
          <w:b/>
          <w:bCs/>
          <w:color w:val="auto"/>
          <w:sz w:val="28"/>
          <w:szCs w:val="28"/>
          <w:lang w:val="en-US" w:eastAsia="zh-CN"/>
        </w:rPr>
      </w:pPr>
      <w:r>
        <w:rPr>
          <w:rFonts w:hint="eastAsia" w:ascii="宋体" w:hAnsi="宋体" w:eastAsia="宋体" w:cs="宋体"/>
          <w:b/>
          <w:bCs/>
          <w:color w:val="auto"/>
          <w:sz w:val="28"/>
          <w:szCs w:val="28"/>
          <w:lang w:val="en-US" w:eastAsia="zh-CN"/>
        </w:rPr>
        <w:t>招标说明:</w:t>
      </w:r>
    </w:p>
    <w:p>
      <w:pPr>
        <w:ind w:firstLine="560" w:firstLineChars="200"/>
        <w:jc w:val="left"/>
        <w:rPr>
          <w:rFonts w:hint="eastAsia" w:ascii="宋体" w:hAnsi="宋体" w:eastAsia="宋体" w:cs="宋体"/>
          <w:color w:val="auto"/>
          <w:sz w:val="28"/>
          <w:szCs w:val="28"/>
          <w:lang w:eastAsia="zh-CN"/>
        </w:rPr>
      </w:pPr>
      <w:r>
        <w:rPr>
          <w:rFonts w:hint="eastAsia" w:ascii="宋体" w:hAnsi="宋体" w:eastAsia="宋体" w:cs="宋体"/>
          <w:color w:val="auto"/>
          <w:sz w:val="28"/>
          <w:szCs w:val="28"/>
          <w:lang w:eastAsia="zh-CN"/>
        </w:rPr>
        <w:t>基于公平、公正、公开的原则，我公司拟对“</w:t>
      </w:r>
      <w:r>
        <w:rPr>
          <w:rFonts w:hint="eastAsia" w:ascii="宋体" w:hAnsi="宋体" w:eastAsia="宋体" w:cs="宋体"/>
          <w:b/>
          <w:bCs/>
          <w:color w:val="auto"/>
          <w:sz w:val="28"/>
          <w:szCs w:val="28"/>
          <w:lang w:val="en-US" w:eastAsia="zh-CN"/>
        </w:rPr>
        <w:t>贵州省剑河至黎平高速公路TJ-2标段清水江特大桥钢混组合梁项目</w:t>
      </w:r>
      <w:r>
        <w:rPr>
          <w:rFonts w:hint="eastAsia" w:ascii="宋体" w:hAnsi="宋体" w:eastAsia="宋体" w:cs="宋体"/>
          <w:color w:val="auto"/>
          <w:sz w:val="28"/>
          <w:szCs w:val="28"/>
          <w:lang w:eastAsia="zh-CN"/>
        </w:rPr>
        <w:t>”</w:t>
      </w:r>
      <w:r>
        <w:rPr>
          <w:rFonts w:hint="eastAsia" w:ascii="宋体" w:hAnsi="宋体" w:eastAsia="宋体" w:cs="宋体"/>
          <w:color w:val="auto"/>
          <w:sz w:val="28"/>
          <w:szCs w:val="28"/>
          <w:lang w:val="en-US" w:eastAsia="zh-CN"/>
        </w:rPr>
        <w:t>制作劳务委外</w:t>
      </w:r>
      <w:r>
        <w:rPr>
          <w:rFonts w:hint="eastAsia" w:ascii="宋体" w:hAnsi="宋体" w:eastAsia="宋体" w:cs="宋体"/>
          <w:color w:val="auto"/>
          <w:sz w:val="28"/>
          <w:szCs w:val="28"/>
          <w:lang w:eastAsia="zh-CN"/>
        </w:rPr>
        <w:t>进行公开招标。请贵公司按照统一报价表对该工程进行投标报价，如贵公司认为有不完整或有缺项的内容，可进行补充说明。现将招标情况作以下简要说明，如有疑问可电询联系人。</w:t>
      </w:r>
    </w:p>
    <w:p>
      <w:pPr>
        <w:keepNext w:val="0"/>
        <w:keepLines w:val="0"/>
        <w:pageBreakBefore w:val="0"/>
        <w:widowControl w:val="0"/>
        <w:numPr>
          <w:ilvl w:val="0"/>
          <w:numId w:val="1"/>
        </w:numPr>
        <w:kinsoku/>
        <w:wordWrap/>
        <w:overflowPunct/>
        <w:topLinePunct w:val="0"/>
        <w:autoSpaceDE/>
        <w:autoSpaceDN/>
        <w:bidi w:val="0"/>
        <w:adjustRightInd/>
        <w:snapToGrid/>
        <w:spacing w:line="540" w:lineRule="exact"/>
        <w:ind w:left="425" w:leftChars="0" w:right="0" w:rightChars="0" w:hanging="425" w:firstLineChars="0"/>
        <w:jc w:val="left"/>
        <w:textAlignment w:val="auto"/>
        <w:outlineLvl w:val="9"/>
        <w:rPr>
          <w:rFonts w:hint="eastAsia" w:ascii="宋体" w:hAnsi="宋体" w:eastAsia="宋体" w:cs="宋体"/>
          <w:b/>
          <w:bCs/>
          <w:color w:val="auto"/>
          <w:sz w:val="28"/>
          <w:szCs w:val="28"/>
          <w:lang w:val="en-US" w:eastAsia="zh-CN"/>
        </w:rPr>
      </w:pPr>
      <w:r>
        <w:rPr>
          <w:rFonts w:hint="eastAsia" w:ascii="宋体" w:hAnsi="宋体" w:eastAsia="宋体" w:cs="宋体"/>
          <w:b/>
          <w:bCs/>
          <w:color w:val="auto"/>
          <w:sz w:val="28"/>
          <w:szCs w:val="28"/>
          <w:lang w:val="en-US" w:eastAsia="zh-CN"/>
        </w:rPr>
        <w:t>工程概况：</w:t>
      </w:r>
    </w:p>
    <w:p>
      <w:pPr>
        <w:ind w:firstLine="560" w:firstLineChars="200"/>
        <w:jc w:val="left"/>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2.1 工程名称：贵州省剑河至黎平高速公路TJ-2标段清水江特大桥钢混组合梁项目加工制作劳务委外；</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2.2 工程地址：</w:t>
      </w:r>
      <w:r>
        <w:rPr>
          <w:rFonts w:hint="eastAsia" w:ascii="宋体" w:hAnsi="宋体" w:eastAsia="宋体" w:cs="宋体"/>
          <w:sz w:val="28"/>
          <w:szCs w:val="28"/>
        </w:rPr>
        <w:t>贵</w:t>
      </w:r>
      <w:r>
        <w:rPr>
          <w:rFonts w:hint="eastAsia" w:ascii="宋体" w:hAnsi="宋体" w:eastAsia="宋体" w:cs="宋体"/>
          <w:color w:val="auto"/>
          <w:sz w:val="28"/>
          <w:szCs w:val="28"/>
          <w:lang w:val="en-US" w:eastAsia="zh-CN"/>
        </w:rPr>
        <w:t>州省贵阳市修文县久长镇贵州汇通申发钢结构有限公司；</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2.3 招标范围：贵州省剑河至黎平高速公路TJ-2标段清水江特大桥钢混组合梁项目暂定1318吨；</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lang w:val="en-US" w:eastAsia="zh-CN"/>
        </w:rPr>
        <w:t>2.4 计划开工日期：</w:t>
      </w:r>
      <w:r>
        <w:rPr>
          <w:rFonts w:hint="eastAsia" w:ascii="宋体" w:hAnsi="宋体" w:eastAsia="宋体" w:cs="宋体"/>
          <w:sz w:val="28"/>
          <w:szCs w:val="28"/>
          <w:lang w:val="en-US" w:eastAsia="zh-CN"/>
        </w:rPr>
        <w:t>具体开工日期从签订合同之日起</w:t>
      </w:r>
      <w:r>
        <w:rPr>
          <w:rFonts w:hint="eastAsia" w:ascii="宋体" w:hAnsi="宋体" w:eastAsia="宋体" w:cs="宋体"/>
          <w:color w:val="auto"/>
          <w:sz w:val="28"/>
          <w:szCs w:val="28"/>
          <w:highlight w:val="none"/>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2.5 工期要求：</w:t>
      </w:r>
      <w:r>
        <w:rPr>
          <w:rFonts w:hint="eastAsia" w:ascii="宋体" w:hAnsi="宋体" w:eastAsia="宋体" w:cs="宋体"/>
          <w:sz w:val="28"/>
          <w:szCs w:val="28"/>
          <w:lang w:val="en-US" w:eastAsia="zh-CN"/>
        </w:rPr>
        <w:t>按甲方的进度指令及总进度计划要求完成施工任务</w:t>
      </w:r>
      <w:r>
        <w:rPr>
          <w:rFonts w:hint="eastAsia" w:ascii="宋体" w:hAnsi="宋体" w:eastAsia="宋体" w:cs="宋体"/>
          <w:color w:val="auto"/>
          <w:sz w:val="28"/>
          <w:szCs w:val="28"/>
          <w:highlight w:val="none"/>
          <w:lang w:val="en-US" w:eastAsia="zh-CN"/>
        </w:rPr>
        <w:t>，</w:t>
      </w:r>
      <w:r>
        <w:rPr>
          <w:rFonts w:hint="eastAsia" w:ascii="宋体" w:hAnsi="宋体" w:eastAsia="宋体" w:cs="宋体"/>
          <w:sz w:val="28"/>
          <w:szCs w:val="28"/>
          <w:lang w:val="en-US" w:eastAsia="zh-CN"/>
        </w:rPr>
        <w:t>要求2023年11月1日开始交付成品，至2023年11月25日全部完工，</w:t>
      </w:r>
      <w:r>
        <w:rPr>
          <w:rFonts w:hint="eastAsia" w:ascii="宋体" w:hAnsi="宋体" w:eastAsia="宋体" w:cs="宋体"/>
          <w:color w:val="auto"/>
          <w:sz w:val="28"/>
          <w:szCs w:val="28"/>
          <w:highlight w:val="none"/>
          <w:lang w:val="en-US" w:eastAsia="zh-CN"/>
        </w:rPr>
        <w:t>不能延期或超期；</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2.6 具体情况详见甲方生产下发的施工图纸。</w:t>
      </w:r>
    </w:p>
    <w:p>
      <w:pPr>
        <w:keepNext w:val="0"/>
        <w:keepLines w:val="0"/>
        <w:pageBreakBefore w:val="0"/>
        <w:widowControl w:val="0"/>
        <w:numPr>
          <w:ilvl w:val="0"/>
          <w:numId w:val="1"/>
        </w:numPr>
        <w:kinsoku/>
        <w:wordWrap/>
        <w:overflowPunct/>
        <w:topLinePunct w:val="0"/>
        <w:autoSpaceDE/>
        <w:autoSpaceDN/>
        <w:bidi w:val="0"/>
        <w:adjustRightInd/>
        <w:snapToGrid/>
        <w:spacing w:line="540" w:lineRule="exact"/>
        <w:ind w:left="425" w:leftChars="0" w:right="0" w:rightChars="0" w:hanging="425" w:firstLineChars="0"/>
        <w:jc w:val="left"/>
        <w:textAlignment w:val="auto"/>
        <w:outlineLvl w:val="9"/>
        <w:rPr>
          <w:rFonts w:hint="eastAsia" w:ascii="宋体" w:hAnsi="宋体" w:eastAsia="宋体" w:cs="宋体"/>
          <w:b/>
          <w:bCs/>
          <w:color w:val="auto"/>
          <w:sz w:val="28"/>
          <w:szCs w:val="28"/>
          <w:lang w:val="en-US" w:eastAsia="zh-CN"/>
        </w:rPr>
      </w:pPr>
      <w:r>
        <w:rPr>
          <w:rFonts w:hint="eastAsia" w:ascii="宋体" w:hAnsi="宋体" w:eastAsia="宋体" w:cs="宋体"/>
          <w:b/>
          <w:bCs/>
          <w:color w:val="auto"/>
          <w:sz w:val="28"/>
          <w:szCs w:val="28"/>
          <w:lang w:val="en-US" w:eastAsia="zh-CN"/>
        </w:rPr>
        <w:t>报价方式：</w:t>
      </w:r>
    </w:p>
    <w:p>
      <w:pPr>
        <w:ind w:firstLine="560" w:firstLineChars="200"/>
        <w:jc w:val="left"/>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3.1投标单位根据自身情况填写招标工程量清单附件2，汇总最终报价。</w:t>
      </w:r>
    </w:p>
    <w:p>
      <w:pPr>
        <w:ind w:firstLine="560" w:firstLineChars="200"/>
        <w:jc w:val="left"/>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3.2投标单位报价包含3%的增值税专用发票。</w:t>
      </w:r>
    </w:p>
    <w:p>
      <w:pPr>
        <w:ind w:firstLine="560" w:firstLineChars="200"/>
        <w:jc w:val="left"/>
        <w:rPr>
          <w:rFonts w:hint="default"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3.3投标单价不能高于指导价：900元/吨.</w:t>
      </w:r>
    </w:p>
    <w:p>
      <w:pPr>
        <w:keepNext w:val="0"/>
        <w:keepLines w:val="0"/>
        <w:pageBreakBefore w:val="0"/>
        <w:widowControl w:val="0"/>
        <w:numPr>
          <w:ilvl w:val="0"/>
          <w:numId w:val="1"/>
        </w:numPr>
        <w:kinsoku/>
        <w:wordWrap/>
        <w:overflowPunct/>
        <w:topLinePunct w:val="0"/>
        <w:autoSpaceDE/>
        <w:autoSpaceDN/>
        <w:bidi w:val="0"/>
        <w:adjustRightInd/>
        <w:snapToGrid/>
        <w:spacing w:line="540" w:lineRule="exact"/>
        <w:ind w:left="425" w:leftChars="0" w:right="0" w:rightChars="0" w:hanging="425" w:firstLineChars="0"/>
        <w:jc w:val="left"/>
        <w:textAlignment w:val="auto"/>
        <w:outlineLvl w:val="9"/>
        <w:rPr>
          <w:rFonts w:hint="eastAsia" w:ascii="宋体" w:hAnsi="宋体" w:eastAsia="宋体" w:cs="宋体"/>
          <w:b/>
          <w:bCs/>
          <w:color w:val="auto"/>
          <w:sz w:val="28"/>
          <w:szCs w:val="28"/>
          <w:lang w:val="en-US" w:eastAsia="zh-CN"/>
        </w:rPr>
      </w:pPr>
      <w:r>
        <w:rPr>
          <w:rFonts w:hint="eastAsia" w:ascii="宋体" w:hAnsi="宋体" w:eastAsia="宋体" w:cs="宋体"/>
          <w:b/>
          <w:bCs/>
          <w:color w:val="auto"/>
          <w:sz w:val="28"/>
          <w:szCs w:val="28"/>
          <w:lang w:val="en-US" w:eastAsia="zh-CN"/>
        </w:rPr>
        <w:t>投标人要求：</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4.1 为完成本工程项目，参加投标的单位须具有营业执照和开户行许可证；</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4.2 投标单位必须具有中华人民共和国独立法人资格；</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4.3 投标单位必须具备纳税资格，并具有依法纳税的良好记录；</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4.4 投标单位要具有劳务分包工程施工资质；</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4.5 评标时，招投标双方将进行该项目的现场答疑，投标方可对该项目施工工艺、计划投入人力（焊工必须持证上岗</w:t>
      </w:r>
      <w:bookmarkStart w:id="0" w:name="_GoBack"/>
      <w:bookmarkEnd w:id="0"/>
      <w:r>
        <w:rPr>
          <w:rFonts w:hint="eastAsia" w:ascii="宋体" w:hAnsi="宋体" w:eastAsia="宋体" w:cs="宋体"/>
          <w:color w:val="auto"/>
          <w:sz w:val="28"/>
          <w:szCs w:val="28"/>
          <w:lang w:val="en-US" w:eastAsia="zh-CN"/>
        </w:rPr>
        <w:t>）等情况进行介绍。</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4.6 投标人必须是本公司合格供应商，若不是，可以联系招标人提交资料评定。</w:t>
      </w:r>
    </w:p>
    <w:p>
      <w:pPr>
        <w:keepNext w:val="0"/>
        <w:keepLines w:val="0"/>
        <w:pageBreakBefore w:val="0"/>
        <w:widowControl w:val="0"/>
        <w:numPr>
          <w:ilvl w:val="0"/>
          <w:numId w:val="1"/>
        </w:numPr>
        <w:kinsoku/>
        <w:wordWrap/>
        <w:overflowPunct/>
        <w:topLinePunct w:val="0"/>
        <w:autoSpaceDE/>
        <w:autoSpaceDN/>
        <w:bidi w:val="0"/>
        <w:adjustRightInd/>
        <w:snapToGrid/>
        <w:spacing w:line="240" w:lineRule="auto"/>
        <w:ind w:left="425" w:leftChars="0" w:right="0" w:rightChars="0" w:hanging="425" w:firstLineChars="0"/>
        <w:jc w:val="left"/>
        <w:textAlignment w:val="auto"/>
        <w:outlineLvl w:val="9"/>
        <w:rPr>
          <w:rFonts w:hint="eastAsia" w:ascii="宋体" w:hAnsi="宋体" w:eastAsia="宋体" w:cs="宋体"/>
          <w:b/>
          <w:bCs/>
          <w:sz w:val="28"/>
          <w:szCs w:val="28"/>
          <w:lang w:val="en-US" w:eastAsia="zh-CN"/>
        </w:rPr>
      </w:pPr>
      <w:r>
        <w:rPr>
          <w:rFonts w:hint="eastAsia" w:ascii="宋体" w:hAnsi="宋体" w:eastAsia="宋体" w:cs="宋体"/>
          <w:b/>
          <w:bCs/>
          <w:color w:val="auto"/>
          <w:sz w:val="28"/>
          <w:szCs w:val="28"/>
          <w:lang w:val="en-US" w:eastAsia="zh-CN"/>
        </w:rPr>
        <w:t>承包内容：</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5.1贵州省剑河至黎平高速公路TJ-2标段清水江特大桥钢混组合梁项目加工制作，主要承担钢梁的加工制作。</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5.2 投标人负责所有人工、人员劳保安全防护用品、人员保险、吃住、交通、管理、安全文明施工及环保所需材料、人员体检等一切费用。</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5.3 投标人自行提供所有施工所需的全部工具及设备（包含：焊机、气刨机、栓钉枪、磁力钻、钻头、割枪、吊索具等，除天车等大型设备以外的设备）；工人设备数量必须满足施工工期要求。</w:t>
      </w:r>
    </w:p>
    <w:p>
      <w:pPr>
        <w:pStyle w:val="10"/>
        <w:numPr>
          <w:ilvl w:val="0"/>
          <w:numId w:val="0"/>
        </w:numPr>
        <w:spacing w:line="360" w:lineRule="auto"/>
        <w:ind w:firstLine="560" w:firstLineChars="200"/>
        <w:jc w:val="both"/>
        <w:rPr>
          <w:rFonts w:hint="eastAsia" w:ascii="宋体" w:hAnsi="宋体" w:eastAsia="宋体" w:cs="宋体"/>
          <w:color w:val="auto"/>
          <w:kern w:val="2"/>
          <w:sz w:val="28"/>
          <w:szCs w:val="28"/>
          <w:lang w:val="en-US" w:eastAsia="zh-CN" w:bidi="ar-SA"/>
        </w:rPr>
      </w:pPr>
      <w:r>
        <w:rPr>
          <w:rFonts w:hint="eastAsia" w:ascii="宋体" w:hAnsi="宋体" w:eastAsia="宋体" w:cs="宋体"/>
          <w:color w:val="auto"/>
          <w:sz w:val="28"/>
          <w:szCs w:val="28"/>
          <w:lang w:val="en-US" w:eastAsia="zh-CN"/>
        </w:rPr>
        <w:t>5.4加工内容</w:t>
      </w:r>
      <w:r>
        <w:rPr>
          <w:rFonts w:hint="eastAsia" w:ascii="宋体" w:hAnsi="宋体" w:eastAsia="宋体" w:cs="宋体"/>
          <w:color w:val="auto"/>
          <w:kern w:val="2"/>
          <w:sz w:val="28"/>
          <w:szCs w:val="28"/>
          <w:lang w:val="en-US" w:eastAsia="zh-CN" w:bidi="ar-SA"/>
        </w:rPr>
        <w:t>：胎架制作、接板、开破口、H型钢组立、焊接、调修打磨、杆件钻孔、总拼、试装、剪力钉焊接、报验、倒运等除下料以外的所有制作工序包含工具和耗材（耗材不包括焊丝、焊剂等辅材，焊丝、焊剂由招标人提供）。</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5.5投标人负责所有人员安全问题，所有人员在施工作业及休息时的安全责任由投标人自行承担，与招标人无关；所有安全事故责任一律由投标人承担；招标人不承担任何安全责任。</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5.6投标人必须遵守招标人的管理规定遵守公司的管理制度，负责现场的卫生清理工作，遵守相关安全文明施工法律法规、积极配合公司完成上级公司及政府部门检查工作，检查过程中出现不符合公司管理规定的现象及相关政府职能部门规定的将进行考核处罚。</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5.7投标人负责所有人员在上岗前的职业卫生体检工作，体检不合格的人员一律不能上岗，每一位员工必须完成安全培训才能上岗。</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5.8投标人在施工过程中必须严格控制焊丝的消耗用量，参照招标方提供的消耗量定额执行，超出部分按焊丝原价从加工费中扣除。</w:t>
      </w:r>
    </w:p>
    <w:p>
      <w:pPr>
        <w:pStyle w:val="10"/>
        <w:numPr>
          <w:ilvl w:val="0"/>
          <w:numId w:val="0"/>
        </w:numPr>
        <w:spacing w:line="360" w:lineRule="auto"/>
        <w:ind w:firstLine="560" w:firstLineChars="200"/>
        <w:jc w:val="both"/>
        <w:rPr>
          <w:rFonts w:hint="eastAsia" w:ascii="宋体" w:hAnsi="宋体" w:eastAsia="宋体" w:cs="宋体"/>
          <w:color w:val="auto"/>
          <w:kern w:val="2"/>
          <w:sz w:val="28"/>
          <w:szCs w:val="28"/>
          <w:lang w:val="en-US" w:eastAsia="zh-CN" w:bidi="ar-SA"/>
        </w:rPr>
      </w:pPr>
      <w:r>
        <w:rPr>
          <w:rFonts w:hint="eastAsia" w:ascii="宋体" w:hAnsi="宋体" w:eastAsia="宋体" w:cs="宋体"/>
          <w:color w:val="auto"/>
          <w:sz w:val="28"/>
          <w:szCs w:val="28"/>
          <w:lang w:val="en-US" w:eastAsia="zh-CN"/>
        </w:rPr>
        <w:t>5.9</w:t>
      </w:r>
      <w:r>
        <w:rPr>
          <w:rFonts w:hint="eastAsia" w:ascii="宋体" w:hAnsi="宋体" w:eastAsia="宋体" w:cs="宋体"/>
          <w:color w:val="auto"/>
          <w:kern w:val="2"/>
          <w:sz w:val="28"/>
          <w:szCs w:val="28"/>
          <w:lang w:val="en-US" w:eastAsia="zh-CN" w:bidi="ar-SA"/>
        </w:rPr>
        <w:t>原材料由招标人于本合同生效后分批次向投标人提供，投标人应在收到后的当日内进行检验，逾期未提出异议或检验，均将视为材料通过投标人检验。材料通过检验后，投标人不得因后发现瑕疵或原材料不足对招标人提出异议（投标人自行承担相应材料费用，后期从加工费中按当月钢材市场价扣除费用）。投标人应妥善保管并按照约定技术资料合理使用材料，因材料保管或使用不当造成的损失由投标人承担（投标人自行承担相应材料费用，按招标人采购价从加工费中扣除费用）。</w:t>
      </w:r>
    </w:p>
    <w:p>
      <w:pPr>
        <w:pStyle w:val="10"/>
        <w:numPr>
          <w:ilvl w:val="0"/>
          <w:numId w:val="0"/>
        </w:numPr>
        <w:spacing w:line="360" w:lineRule="auto"/>
        <w:ind w:firstLine="560" w:firstLineChars="200"/>
        <w:jc w:val="both"/>
        <w:rPr>
          <w:rFonts w:hint="default"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5.11原材由</w:t>
      </w:r>
      <w:r>
        <w:rPr>
          <w:rFonts w:hint="eastAsia" w:ascii="宋体" w:hAnsi="宋体" w:eastAsia="宋体" w:cs="宋体"/>
          <w:color w:val="auto"/>
          <w:kern w:val="2"/>
          <w:sz w:val="28"/>
          <w:szCs w:val="28"/>
          <w:lang w:val="en-US" w:eastAsia="zh-CN" w:bidi="ar-SA"/>
        </w:rPr>
        <w:t>招标人</w:t>
      </w:r>
      <w:r>
        <w:rPr>
          <w:rFonts w:hint="eastAsia" w:ascii="宋体" w:hAnsi="宋体" w:eastAsia="宋体" w:cs="宋体"/>
          <w:color w:val="auto"/>
          <w:sz w:val="28"/>
          <w:szCs w:val="28"/>
          <w:lang w:val="en-US" w:eastAsia="zh-CN"/>
        </w:rPr>
        <w:t>供应，</w:t>
      </w:r>
      <w:r>
        <w:rPr>
          <w:rFonts w:hint="eastAsia" w:ascii="宋体" w:hAnsi="宋体" w:eastAsia="宋体" w:cs="宋体"/>
          <w:color w:val="auto"/>
          <w:kern w:val="2"/>
          <w:sz w:val="28"/>
          <w:szCs w:val="28"/>
          <w:lang w:val="en-US" w:eastAsia="zh-CN" w:bidi="ar-SA"/>
        </w:rPr>
        <w:t>投标人</w:t>
      </w:r>
      <w:r>
        <w:rPr>
          <w:rFonts w:hint="eastAsia" w:ascii="宋体" w:hAnsi="宋体" w:eastAsia="宋体" w:cs="宋体"/>
          <w:color w:val="auto"/>
          <w:sz w:val="28"/>
          <w:szCs w:val="28"/>
          <w:lang w:val="en-US" w:eastAsia="zh-CN"/>
        </w:rPr>
        <w:t>对加工的产品应根据图纸进行加工，加工过程中由于尺寸问题或者质量问题导致返工和不合格的产品，应按材料采购原价扣除费用。</w:t>
      </w:r>
    </w:p>
    <w:p>
      <w:pPr>
        <w:keepNext w:val="0"/>
        <w:keepLines w:val="0"/>
        <w:pageBreakBefore w:val="0"/>
        <w:widowControl w:val="0"/>
        <w:numPr>
          <w:ilvl w:val="0"/>
          <w:numId w:val="1"/>
        </w:numPr>
        <w:kinsoku/>
        <w:wordWrap/>
        <w:overflowPunct/>
        <w:topLinePunct w:val="0"/>
        <w:autoSpaceDE/>
        <w:autoSpaceDN/>
        <w:bidi w:val="0"/>
        <w:adjustRightInd/>
        <w:snapToGrid/>
        <w:spacing w:line="240" w:lineRule="auto"/>
        <w:ind w:left="425" w:leftChars="0" w:right="0" w:rightChars="0" w:hanging="425" w:firstLineChars="0"/>
        <w:jc w:val="left"/>
        <w:textAlignment w:val="auto"/>
        <w:outlineLvl w:val="9"/>
        <w:rPr>
          <w:rFonts w:hint="eastAsia" w:ascii="宋体" w:hAnsi="宋体" w:eastAsia="宋体" w:cs="宋体"/>
          <w:b/>
          <w:bCs/>
          <w:sz w:val="28"/>
          <w:szCs w:val="28"/>
          <w:lang w:val="en-US" w:eastAsia="zh-CN"/>
        </w:rPr>
      </w:pPr>
      <w:r>
        <w:rPr>
          <w:rFonts w:hint="eastAsia" w:ascii="宋体" w:hAnsi="宋体" w:eastAsia="宋体" w:cs="宋体"/>
          <w:b/>
          <w:bCs/>
          <w:sz w:val="28"/>
          <w:szCs w:val="28"/>
          <w:lang w:val="en-US" w:eastAsia="zh-CN"/>
        </w:rPr>
        <w:t>投标截止及投标文件递交方式：</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200" w:right="0" w:rightChars="0"/>
        <w:jc w:val="left"/>
        <w:textAlignment w:val="auto"/>
        <w:outlineLvl w:val="9"/>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6.1 投标截止时间：</w:t>
      </w:r>
      <w:r>
        <w:rPr>
          <w:rFonts w:hint="eastAsia" w:ascii="宋体" w:hAnsi="宋体" w:eastAsia="宋体" w:cs="宋体"/>
          <w:sz w:val="28"/>
          <w:szCs w:val="28"/>
          <w:highlight w:val="none"/>
          <w:lang w:val="en-US" w:eastAsia="zh-CN"/>
        </w:rPr>
        <w:t>2023年9月25日12：00时：</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200" w:right="0" w:rightChars="0"/>
        <w:jc w:val="left"/>
        <w:textAlignment w:val="auto"/>
        <w:outlineLvl w:val="9"/>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6.2 投标文件递送方式：投标人或代表人携带纸质版投标文件递送到开标地点。电子版投标报价单以</w:t>
      </w:r>
      <w:r>
        <w:rPr>
          <w:rFonts w:hint="eastAsia" w:ascii="宋体" w:hAnsi="宋体" w:eastAsia="宋体" w:cs="宋体"/>
          <w:b/>
          <w:bCs/>
          <w:color w:val="FF0000"/>
          <w:sz w:val="28"/>
          <w:szCs w:val="28"/>
          <w:lang w:val="en-US" w:eastAsia="zh-CN"/>
        </w:rPr>
        <w:t>PDF版本形式</w:t>
      </w:r>
      <w:r>
        <w:rPr>
          <w:rFonts w:hint="eastAsia" w:ascii="宋体" w:hAnsi="宋体" w:eastAsia="宋体" w:cs="宋体"/>
          <w:sz w:val="28"/>
          <w:szCs w:val="28"/>
          <w:lang w:val="en-US" w:eastAsia="zh-CN"/>
        </w:rPr>
        <w:t>发送至指定邮箱：gygjg@crrcgc.cc。</w:t>
      </w:r>
    </w:p>
    <w:p>
      <w:pPr>
        <w:keepNext w:val="0"/>
        <w:keepLines w:val="0"/>
        <w:pageBreakBefore w:val="0"/>
        <w:widowControl w:val="0"/>
        <w:numPr>
          <w:ilvl w:val="0"/>
          <w:numId w:val="1"/>
        </w:numPr>
        <w:kinsoku/>
        <w:wordWrap/>
        <w:overflowPunct/>
        <w:topLinePunct w:val="0"/>
        <w:autoSpaceDE/>
        <w:autoSpaceDN/>
        <w:bidi w:val="0"/>
        <w:adjustRightInd/>
        <w:snapToGrid/>
        <w:spacing w:line="540" w:lineRule="exact"/>
        <w:ind w:left="425" w:leftChars="0" w:right="0" w:rightChars="0" w:hanging="425" w:firstLineChars="0"/>
        <w:jc w:val="left"/>
        <w:textAlignment w:val="auto"/>
        <w:outlineLvl w:val="9"/>
        <w:rPr>
          <w:rFonts w:hint="eastAsia" w:ascii="宋体" w:hAnsi="宋体" w:eastAsia="宋体" w:cs="宋体"/>
          <w:b/>
          <w:bCs/>
          <w:color w:val="auto"/>
          <w:sz w:val="28"/>
          <w:szCs w:val="28"/>
          <w:lang w:val="en-US" w:eastAsia="zh-CN"/>
        </w:rPr>
      </w:pPr>
      <w:r>
        <w:rPr>
          <w:rFonts w:hint="eastAsia" w:ascii="宋体" w:hAnsi="宋体" w:eastAsia="宋体" w:cs="宋体"/>
          <w:b/>
          <w:bCs/>
          <w:color w:val="auto"/>
          <w:sz w:val="28"/>
          <w:szCs w:val="28"/>
          <w:lang w:val="en-US" w:eastAsia="zh-CN"/>
        </w:rPr>
        <w:t>开标时间及地点：</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leftChars="0"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7.1 时间：2023年9月25日14：00时；</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leftChars="0"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7.2 开标地点：贵州省贵阳市修文县久长镇东屏村贵州汇通申发钢结构有限公司办公大楼四楼会议室。</w:t>
      </w:r>
    </w:p>
    <w:p>
      <w:pPr>
        <w:keepNext w:val="0"/>
        <w:keepLines w:val="0"/>
        <w:pageBreakBefore w:val="0"/>
        <w:widowControl w:val="0"/>
        <w:numPr>
          <w:ilvl w:val="0"/>
          <w:numId w:val="1"/>
        </w:numPr>
        <w:kinsoku/>
        <w:wordWrap/>
        <w:overflowPunct/>
        <w:topLinePunct w:val="0"/>
        <w:autoSpaceDE/>
        <w:autoSpaceDN/>
        <w:bidi w:val="0"/>
        <w:adjustRightInd/>
        <w:snapToGrid/>
        <w:spacing w:line="540" w:lineRule="exact"/>
        <w:ind w:left="425" w:leftChars="0" w:right="0" w:rightChars="0" w:hanging="425" w:firstLineChars="0"/>
        <w:jc w:val="left"/>
        <w:textAlignment w:val="auto"/>
        <w:outlineLvl w:val="9"/>
        <w:rPr>
          <w:rFonts w:hint="eastAsia" w:ascii="宋体" w:hAnsi="宋体" w:eastAsia="宋体" w:cs="宋体"/>
          <w:b/>
          <w:bCs/>
          <w:color w:val="auto"/>
          <w:sz w:val="28"/>
          <w:szCs w:val="28"/>
          <w:lang w:val="en-US" w:eastAsia="zh-CN"/>
        </w:rPr>
      </w:pPr>
      <w:r>
        <w:rPr>
          <w:rFonts w:hint="eastAsia" w:ascii="宋体" w:hAnsi="宋体" w:eastAsia="宋体" w:cs="宋体"/>
          <w:b/>
          <w:bCs/>
          <w:color w:val="auto"/>
          <w:sz w:val="28"/>
          <w:szCs w:val="28"/>
          <w:lang w:val="en-US" w:eastAsia="zh-CN"/>
        </w:rPr>
        <w:t>评标标准和原则：</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leftChars="0"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8.1 合理低价法；</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leftChars="0"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8.2 评标工作遵循公正、公平、择优的原则。</w:t>
      </w:r>
    </w:p>
    <w:p>
      <w:pPr>
        <w:keepNext w:val="0"/>
        <w:keepLines w:val="0"/>
        <w:pageBreakBefore w:val="0"/>
        <w:widowControl w:val="0"/>
        <w:numPr>
          <w:ilvl w:val="0"/>
          <w:numId w:val="1"/>
        </w:numPr>
        <w:kinsoku/>
        <w:wordWrap/>
        <w:overflowPunct/>
        <w:topLinePunct w:val="0"/>
        <w:autoSpaceDE/>
        <w:autoSpaceDN/>
        <w:bidi w:val="0"/>
        <w:adjustRightInd/>
        <w:snapToGrid/>
        <w:spacing w:line="540" w:lineRule="exact"/>
        <w:ind w:left="425" w:leftChars="0" w:right="0" w:rightChars="0" w:hanging="425" w:firstLineChars="0"/>
        <w:jc w:val="left"/>
        <w:textAlignment w:val="auto"/>
        <w:outlineLvl w:val="9"/>
        <w:rPr>
          <w:rFonts w:hint="eastAsia" w:ascii="宋体" w:hAnsi="宋体" w:eastAsia="宋体" w:cs="宋体"/>
          <w:b/>
          <w:bCs/>
          <w:color w:val="auto"/>
          <w:sz w:val="28"/>
          <w:szCs w:val="28"/>
          <w:lang w:val="en-US" w:eastAsia="zh-CN"/>
        </w:rPr>
      </w:pPr>
      <w:r>
        <w:rPr>
          <w:rFonts w:hint="eastAsia" w:ascii="宋体" w:hAnsi="宋体" w:eastAsia="宋体" w:cs="宋体"/>
          <w:b/>
          <w:bCs/>
          <w:color w:val="auto"/>
          <w:sz w:val="28"/>
          <w:szCs w:val="28"/>
          <w:lang w:val="en-US" w:eastAsia="zh-CN"/>
        </w:rPr>
        <w:t>投标文件要求：</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投标文件包括：</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9.1 投标报价单；</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9.2 投标单位概况、营业执照、资质证书、安全生产许可证、税务登记证等有关投标单位的资质资料(复印件加盖红章)；</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9.3 提供项目负责人及联系方式，近年已施工过的类似工程的施工业绩及其它施工业绩，在建工程情况，施工组织设计等；</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9.4 以上资料需加盖投标单位公章；</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9.5 密封要求:投标文件要求密封，并加盖投标人法人或单位印章，封面写明工程名称，投标单位名称和封标时间。</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jc w:val="left"/>
        <w:textAlignment w:val="auto"/>
        <w:outlineLvl w:val="9"/>
      </w:pPr>
      <w:r>
        <w:rPr>
          <w:rFonts w:hint="eastAsia" w:ascii="宋体" w:hAnsi="宋体" w:eastAsia="宋体" w:cs="宋体"/>
          <w:b/>
          <w:bCs/>
          <w:color w:val="auto"/>
          <w:sz w:val="28"/>
          <w:szCs w:val="28"/>
          <w:lang w:val="en-US" w:eastAsia="zh-CN"/>
        </w:rPr>
        <w:t>10.相关</w:t>
      </w:r>
      <w:r>
        <w:rPr>
          <w:rFonts w:hint="eastAsia" w:ascii="仿宋_GB2312" w:hAnsi="仿宋_GB2312" w:eastAsia="仿宋_GB2312" w:cs="仿宋_GB2312"/>
          <w:b/>
          <w:bCs/>
          <w:sz w:val="32"/>
          <w:szCs w:val="32"/>
          <w:lang w:val="en-US" w:eastAsia="zh-CN"/>
        </w:rPr>
        <w:t>技术质量要求</w:t>
      </w:r>
      <w:r>
        <w:rPr>
          <w:rFonts w:hint="eastAsia" w:ascii="宋体" w:hAnsi="宋体" w:eastAsia="宋体" w:cs="宋体"/>
          <w:b/>
          <w:bCs/>
          <w:color w:val="auto"/>
          <w:sz w:val="28"/>
          <w:szCs w:val="28"/>
          <w:lang w:val="en-US" w:eastAsia="zh-CN"/>
        </w:rPr>
        <w:t>：</w:t>
      </w:r>
      <w:r>
        <w:rPr>
          <w:rFonts w:hint="default" w:ascii="Times New Roman" w:hAnsi="Times New Roman" w:eastAsia="宋体" w:cs="Times New Roman"/>
          <w:b w:val="0"/>
          <w:bCs w:val="0"/>
          <w:color w:val="000000"/>
          <w:kern w:val="0"/>
          <w:sz w:val="28"/>
          <w:szCs w:val="28"/>
          <w:lang w:val="en-US" w:eastAsia="zh-CN" w:bidi="ar"/>
        </w:rPr>
        <w:t xml:space="preserve"> </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 xml:space="preserve">10.1《公路工程技术标准》（JTG B01—2014）； </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 xml:space="preserve">10.2《桥梁用结构钢》(GB/T 714-2015) </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10.3《公路桥涵设计通用规范》（</w:t>
      </w:r>
      <w:r>
        <w:rPr>
          <w:rFonts w:hint="default" w:ascii="宋体" w:hAnsi="宋体" w:eastAsia="宋体" w:cs="宋体"/>
          <w:color w:val="auto"/>
          <w:sz w:val="28"/>
          <w:szCs w:val="28"/>
          <w:lang w:val="en-US" w:eastAsia="zh-CN"/>
        </w:rPr>
        <w:t>JTG D60</w:t>
      </w:r>
      <w:r>
        <w:rPr>
          <w:rFonts w:hint="eastAsia" w:ascii="宋体" w:hAnsi="宋体" w:eastAsia="宋体" w:cs="宋体"/>
          <w:color w:val="auto"/>
          <w:sz w:val="28"/>
          <w:szCs w:val="28"/>
          <w:lang w:val="en-US" w:eastAsia="zh-CN"/>
        </w:rPr>
        <w:t>—</w:t>
      </w:r>
      <w:r>
        <w:rPr>
          <w:rFonts w:hint="default" w:ascii="宋体" w:hAnsi="宋体" w:eastAsia="宋体" w:cs="宋体"/>
          <w:color w:val="auto"/>
          <w:sz w:val="28"/>
          <w:szCs w:val="28"/>
          <w:lang w:val="en-US" w:eastAsia="zh-CN"/>
        </w:rPr>
        <w:t>2015</w:t>
      </w:r>
      <w:r>
        <w:rPr>
          <w:rFonts w:hint="eastAsia" w:ascii="宋体" w:hAnsi="宋体" w:eastAsia="宋体" w:cs="宋体"/>
          <w:color w:val="auto"/>
          <w:sz w:val="28"/>
          <w:szCs w:val="28"/>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10.4《公路桥涵施工技术规范》（</w:t>
      </w:r>
      <w:r>
        <w:rPr>
          <w:rFonts w:hint="default" w:ascii="宋体" w:hAnsi="宋体" w:eastAsia="宋体" w:cs="宋体"/>
          <w:color w:val="auto"/>
          <w:sz w:val="28"/>
          <w:szCs w:val="28"/>
          <w:lang w:val="en-US" w:eastAsia="zh-CN"/>
        </w:rPr>
        <w:t>JTG/T 3650-2020</w:t>
      </w:r>
      <w:r>
        <w:rPr>
          <w:rFonts w:hint="eastAsia" w:ascii="宋体" w:hAnsi="宋体" w:eastAsia="宋体" w:cs="宋体"/>
          <w:color w:val="auto"/>
          <w:sz w:val="28"/>
          <w:szCs w:val="28"/>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10.5《钢结构工程施工质量验收标准》（GB50205-2020）;</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10.6《钢结构焊接规范》（GB50661）；</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10.7《公路工程质量检验评定标准》（JTG F80/1-2017）；</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10.8《钢结构焊接规范》（GB50661-2011）；</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10.9《公路钢结构桥梁设计规范》（JTG D64-2015）；</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10.10《钢结构设计标准》（GB50017-2017）；</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default"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10.11《铁路钢桥制造规范》（Q/CR 9211-2015）；</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 xml:space="preserve">10.12相关质量验收规范评定标准验收合格且满足甲方验收要求，施工质量检验合格率必须达到 100%，主体工程质量零缺陷。 </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Chars="0" w:right="0" w:rightChars="0"/>
        <w:jc w:val="left"/>
        <w:textAlignment w:val="auto"/>
        <w:outlineLvl w:val="9"/>
        <w:rPr>
          <w:rFonts w:hint="default"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11.人员管理：</w:t>
      </w:r>
    </w:p>
    <w:p>
      <w:pPr>
        <w:pStyle w:val="10"/>
        <w:numPr>
          <w:ilvl w:val="0"/>
          <w:numId w:val="0"/>
        </w:numPr>
        <w:spacing w:line="360" w:lineRule="auto"/>
        <w:ind w:firstLine="560" w:firstLineChars="200"/>
        <w:jc w:val="both"/>
        <w:rPr>
          <w:rFonts w:hint="eastAsia" w:ascii="宋体" w:hAnsi="宋体" w:eastAsia="宋体" w:cs="宋体"/>
          <w:color w:val="auto"/>
          <w:kern w:val="2"/>
          <w:sz w:val="28"/>
          <w:szCs w:val="28"/>
          <w:lang w:val="en-US" w:eastAsia="zh-CN" w:bidi="ar-SA"/>
        </w:rPr>
      </w:pPr>
      <w:r>
        <w:rPr>
          <w:rFonts w:hint="eastAsia" w:ascii="宋体" w:hAnsi="宋体" w:eastAsia="宋体" w:cs="宋体"/>
          <w:color w:val="auto"/>
          <w:kern w:val="2"/>
          <w:sz w:val="28"/>
          <w:szCs w:val="28"/>
          <w:lang w:val="en-US" w:eastAsia="zh-CN" w:bidi="ar-SA"/>
        </w:rPr>
        <w:t>投标人须保证按照招标人要求完成员工实名制管理，做好相应台账、住宿登记表、上交身份复印件备案登记、每位特种作业人员必须具备特种作业操作资格证（列如焊工、叉车工、起重操作员等涉及特种作业的人员）；要配备相应的安全管理人员并取得相应安全管理证书。</w:t>
      </w:r>
    </w:p>
    <w:p>
      <w:pPr>
        <w:keepNext w:val="0"/>
        <w:keepLines w:val="0"/>
        <w:pageBreakBefore w:val="0"/>
        <w:widowControl w:val="0"/>
        <w:numPr>
          <w:ilvl w:val="0"/>
          <w:numId w:val="2"/>
        </w:numPr>
        <w:kinsoku/>
        <w:wordWrap/>
        <w:overflowPunct/>
        <w:topLinePunct w:val="0"/>
        <w:autoSpaceDE/>
        <w:autoSpaceDN/>
        <w:bidi w:val="0"/>
        <w:adjustRightInd/>
        <w:snapToGrid/>
        <w:spacing w:line="540" w:lineRule="exact"/>
        <w:ind w:right="0" w:rightChars="0"/>
        <w:jc w:val="left"/>
        <w:textAlignment w:val="auto"/>
        <w:outlineLvl w:val="9"/>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计量支付：</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12.1工程计量。以甲方技术交底（甲方技术交底包含施工图纸、设计变更通知等内容）、为依据，按投标人实际完成工程量计算，甲方签认的合格工程量计算。</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12.2需在每月20日前提供当月所完成工程量数据，并附工程量详细计算式资料作为结算依据提交工程经济部预结算组审核，实际工程量依照甲方提供的深化详图实际形状计算（扣除切边、切角，孔洞）按实际理论发生净重量结算。不规则零件按实际净重结算。</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12.3本工程无预付款，收到业主方款项后进行付款（支付方式：云信、融信、银行汇票、银行转账等方式，因票据贴现产生的费用由投标人自行负责。）在工程费用结算过程中，如果</w:t>
      </w:r>
      <w:r>
        <w:rPr>
          <w:rFonts w:hint="eastAsia" w:ascii="宋体" w:hAnsi="宋体" w:eastAsia="宋体" w:cs="宋体"/>
          <w:color w:val="auto"/>
          <w:kern w:val="2"/>
          <w:sz w:val="28"/>
          <w:szCs w:val="28"/>
          <w:lang w:val="en-US" w:eastAsia="zh-CN" w:bidi="ar-SA"/>
        </w:rPr>
        <w:t>招标人</w:t>
      </w:r>
      <w:r>
        <w:rPr>
          <w:rFonts w:hint="eastAsia" w:ascii="宋体" w:hAnsi="宋体" w:eastAsia="宋体" w:cs="宋体"/>
          <w:color w:val="auto"/>
          <w:sz w:val="28"/>
          <w:szCs w:val="28"/>
          <w:lang w:val="en-US" w:eastAsia="zh-CN"/>
        </w:rPr>
        <w:t>未能及时获得建设单位支付的工程款，不能及时对投标人拨付工程款时，投标人应自行承担资金周转义务，不得因此停工，影响施工进度。</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12.4质量保证金：合同总价格的5%。质量保证金的退还：在1年质保期满后15日内退还质保金。</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12.5约定税率波动导致的合同价变化按如下方式处理：如税率上调，含税价为不变价，税率波动风险由投标人承担；如税率下调，不含税价为不变价，税金减少的利益归于</w:t>
      </w:r>
      <w:r>
        <w:rPr>
          <w:rFonts w:hint="eastAsia" w:ascii="宋体" w:hAnsi="宋体" w:eastAsia="宋体" w:cs="宋体"/>
          <w:color w:val="auto"/>
          <w:kern w:val="2"/>
          <w:sz w:val="28"/>
          <w:szCs w:val="28"/>
          <w:lang w:val="en-US" w:eastAsia="zh-CN" w:bidi="ar-SA"/>
        </w:rPr>
        <w:t>招标人</w:t>
      </w:r>
      <w:r>
        <w:rPr>
          <w:rFonts w:hint="eastAsia" w:ascii="宋体" w:hAnsi="宋体" w:eastAsia="宋体" w:cs="宋体"/>
          <w:color w:val="auto"/>
          <w:sz w:val="28"/>
          <w:szCs w:val="28"/>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default" w:ascii="宋体" w:hAnsi="宋体" w:eastAsia="宋体" w:cs="宋体"/>
          <w:color w:val="auto"/>
          <w:sz w:val="28"/>
          <w:szCs w:val="28"/>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jc w:val="left"/>
        <w:textAlignment w:val="auto"/>
        <w:outlineLvl w:val="9"/>
        <w:rPr>
          <w:rFonts w:hint="eastAsia"/>
          <w:lang w:val="en-US" w:eastAsia="zh-CN"/>
        </w:rPr>
      </w:pPr>
      <w:r>
        <w:rPr>
          <w:rFonts w:hint="eastAsia" w:ascii="宋体" w:hAnsi="宋体" w:eastAsia="宋体" w:cs="宋体"/>
          <w:b/>
          <w:bCs/>
          <w:color w:val="auto"/>
          <w:sz w:val="28"/>
          <w:szCs w:val="28"/>
          <w:lang w:val="en-US" w:eastAsia="zh-CN"/>
        </w:rPr>
        <w:t>13.投标评分标准：</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left"/>
        <w:textAlignment w:val="auto"/>
        <w:outlineLvl w:val="9"/>
        <w:rPr>
          <w:rFonts w:hint="eastAsia" w:asciiTheme="majorEastAsia" w:hAnsiTheme="majorEastAsia" w:eastAsiaTheme="majorEastAsia" w:cstheme="majorEastAsia"/>
          <w:sz w:val="32"/>
          <w:szCs w:val="32"/>
          <w:lang w:val="en-US" w:eastAsia="zh-CN"/>
        </w:rPr>
      </w:pPr>
      <w:r>
        <w:rPr>
          <w:rFonts w:hint="eastAsia" w:asciiTheme="majorEastAsia" w:hAnsiTheme="majorEastAsia" w:eastAsiaTheme="majorEastAsia" w:cstheme="majorEastAsia"/>
          <w:sz w:val="32"/>
          <w:szCs w:val="32"/>
          <w:lang w:val="en-US" w:eastAsia="zh-CN"/>
        </w:rPr>
        <w:drawing>
          <wp:inline distT="0" distB="0" distL="114300" distR="114300">
            <wp:extent cx="5271135" cy="3708400"/>
            <wp:effectExtent l="0" t="0" r="5715" b="6350"/>
            <wp:docPr id="5" name="图片 5" descr="0c920c9e345688ce188568d7d8c76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0c920c9e345688ce188568d7d8c7639"/>
                    <pic:cNvPicPr>
                      <a:picLocks noChangeAspect="1"/>
                    </pic:cNvPicPr>
                  </pic:nvPicPr>
                  <pic:blipFill>
                    <a:blip r:embed="rId4"/>
                    <a:stretch>
                      <a:fillRect/>
                    </a:stretch>
                  </pic:blipFill>
                  <pic:spPr>
                    <a:xfrm>
                      <a:off x="0" y="0"/>
                      <a:ext cx="5271135" cy="3708400"/>
                    </a:xfrm>
                    <a:prstGeom prst="rect">
                      <a:avLst/>
                    </a:prstGeom>
                  </pic:spPr>
                </pic:pic>
              </a:graphicData>
            </a:graphic>
          </wp:inline>
        </w:drawing>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left"/>
        <w:textAlignment w:val="auto"/>
        <w:outlineLvl w:val="9"/>
        <w:rPr>
          <w:rFonts w:hint="eastAsia" w:asciiTheme="majorEastAsia" w:hAnsiTheme="majorEastAsia" w:eastAsiaTheme="majorEastAsia" w:cstheme="majorEastAsia"/>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left"/>
        <w:textAlignment w:val="auto"/>
        <w:outlineLvl w:val="9"/>
        <w:rPr>
          <w:rFonts w:hint="eastAsia" w:asciiTheme="majorEastAsia" w:hAnsiTheme="majorEastAsia" w:eastAsiaTheme="majorEastAsia" w:cstheme="majorEastAsia"/>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right"/>
        <w:textAlignment w:val="auto"/>
        <w:outlineLvl w:val="9"/>
        <w:rPr>
          <w:rFonts w:hint="eastAsia" w:asciiTheme="majorEastAsia" w:hAnsiTheme="majorEastAsia" w:eastAsiaTheme="majorEastAsia" w:cstheme="majorEastAsia"/>
          <w:sz w:val="28"/>
          <w:szCs w:val="28"/>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right"/>
        <w:textAlignment w:val="auto"/>
        <w:outlineLvl w:val="9"/>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贵州汇通申发钢结构有限公司</w:t>
      </w:r>
    </w:p>
    <w:p>
      <w:pPr>
        <w:keepNext w:val="0"/>
        <w:keepLines w:val="0"/>
        <w:pageBreakBefore w:val="0"/>
        <w:widowControl w:val="0"/>
        <w:numPr>
          <w:ilvl w:val="0"/>
          <w:numId w:val="0"/>
        </w:numPr>
        <w:kinsoku/>
        <w:wordWrap w:val="0"/>
        <w:overflowPunct/>
        <w:topLinePunct w:val="0"/>
        <w:autoSpaceDE/>
        <w:autoSpaceDN/>
        <w:bidi w:val="0"/>
        <w:adjustRightInd/>
        <w:snapToGrid/>
        <w:spacing w:line="240" w:lineRule="auto"/>
        <w:ind w:right="0" w:rightChars="0"/>
        <w:jc w:val="right"/>
        <w:textAlignment w:val="auto"/>
        <w:outlineLvl w:val="9"/>
        <w:rPr>
          <w:rFonts w:hint="eastAsia" w:asciiTheme="majorEastAsia" w:hAnsiTheme="majorEastAsia" w:eastAsiaTheme="majorEastAsia" w:cstheme="majorEastAsia"/>
          <w:sz w:val="28"/>
          <w:szCs w:val="28"/>
          <w:highlight w:val="none"/>
          <w:lang w:val="en-US" w:eastAsia="zh-CN"/>
        </w:rPr>
      </w:pPr>
      <w:r>
        <w:rPr>
          <w:rFonts w:hint="eastAsia" w:asciiTheme="majorEastAsia" w:hAnsiTheme="majorEastAsia" w:eastAsiaTheme="majorEastAsia" w:cstheme="majorEastAsia"/>
          <w:sz w:val="28"/>
          <w:szCs w:val="28"/>
          <w:highlight w:val="none"/>
          <w:lang w:val="en-US" w:eastAsia="zh-CN"/>
        </w:rPr>
        <w:t xml:space="preserve">2023年9月20日     </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right"/>
        <w:textAlignment w:val="auto"/>
        <w:outlineLvl w:val="9"/>
        <w:rPr>
          <w:rFonts w:hint="eastAsia" w:asciiTheme="majorEastAsia" w:hAnsiTheme="majorEastAsia" w:eastAsiaTheme="majorEastAsia" w:cstheme="majorEastAsia"/>
          <w:sz w:val="28"/>
          <w:szCs w:val="28"/>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right"/>
        <w:textAlignment w:val="auto"/>
        <w:outlineLvl w:val="9"/>
        <w:rPr>
          <w:rFonts w:hint="eastAsia" w:asciiTheme="majorEastAsia" w:hAnsiTheme="majorEastAsia" w:eastAsiaTheme="majorEastAsia" w:cstheme="majorEastAsia"/>
          <w:sz w:val="28"/>
          <w:szCs w:val="28"/>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left"/>
        <w:textAlignment w:val="auto"/>
        <w:outlineLvl w:val="9"/>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附件1 贵州省剑河至黎平高速公路TJ-2标段清水江特大桥钢混组合梁项目加工制作劳务委外招标报价表</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left"/>
        <w:textAlignment w:val="auto"/>
        <w:outlineLvl w:val="9"/>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附件2 贵州省剑河至黎平高速公路TJ-2标段清水江特大桥钢混组合梁项目施工图</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altName w:val="宋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2ECD974"/>
    <w:multiLevelType w:val="singleLevel"/>
    <w:tmpl w:val="A2ECD974"/>
    <w:lvl w:ilvl="0" w:tentative="0">
      <w:start w:val="12"/>
      <w:numFmt w:val="decimal"/>
      <w:lvlText w:val="%1."/>
      <w:lvlJc w:val="left"/>
      <w:pPr>
        <w:tabs>
          <w:tab w:val="left" w:pos="312"/>
        </w:tabs>
      </w:pPr>
    </w:lvl>
  </w:abstractNum>
  <w:abstractNum w:abstractNumId="1">
    <w:nsid w:val="62F207FA"/>
    <w:multiLevelType w:val="multilevel"/>
    <w:tmpl w:val="62F207FA"/>
    <w:lvl w:ilvl="0" w:tentative="0">
      <w:start w:val="1"/>
      <w:numFmt w:val="decimal"/>
      <w:lvlText w:val="%1."/>
      <w:lvlJc w:val="left"/>
      <w:pPr>
        <w:ind w:left="425" w:leftChars="0" w:hanging="425" w:firstLineChars="0"/>
      </w:pPr>
      <w:rPr>
        <w:rFonts w:hint="default"/>
      </w:rPr>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86"/>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RmNThjMjczNmNkN2Q0OWNhZjM2NjM5NjI1ODgyMmQifQ=="/>
  </w:docVars>
  <w:rsids>
    <w:rsidRoot w:val="00000000"/>
    <w:rsid w:val="0101457E"/>
    <w:rsid w:val="020118D3"/>
    <w:rsid w:val="020A6E56"/>
    <w:rsid w:val="02C656FE"/>
    <w:rsid w:val="04057E29"/>
    <w:rsid w:val="05686002"/>
    <w:rsid w:val="064453D7"/>
    <w:rsid w:val="06906DD4"/>
    <w:rsid w:val="0A262D92"/>
    <w:rsid w:val="0EE03DEF"/>
    <w:rsid w:val="15381679"/>
    <w:rsid w:val="188070E8"/>
    <w:rsid w:val="19835C21"/>
    <w:rsid w:val="1A2505B6"/>
    <w:rsid w:val="1A7449DA"/>
    <w:rsid w:val="1AA43495"/>
    <w:rsid w:val="1AC067E2"/>
    <w:rsid w:val="1B60123E"/>
    <w:rsid w:val="1DB32EC1"/>
    <w:rsid w:val="1F537332"/>
    <w:rsid w:val="20A144DE"/>
    <w:rsid w:val="21336F8E"/>
    <w:rsid w:val="21F934CC"/>
    <w:rsid w:val="23405C50"/>
    <w:rsid w:val="238505B2"/>
    <w:rsid w:val="23BB3AC3"/>
    <w:rsid w:val="24C56DC9"/>
    <w:rsid w:val="24CB2048"/>
    <w:rsid w:val="2974382E"/>
    <w:rsid w:val="298768C3"/>
    <w:rsid w:val="2B866A5E"/>
    <w:rsid w:val="2CA907D7"/>
    <w:rsid w:val="2F8C2F0E"/>
    <w:rsid w:val="31F5307C"/>
    <w:rsid w:val="34605121"/>
    <w:rsid w:val="35D2252B"/>
    <w:rsid w:val="37F23569"/>
    <w:rsid w:val="3B3861D7"/>
    <w:rsid w:val="3EBA410A"/>
    <w:rsid w:val="3F134E07"/>
    <w:rsid w:val="40C655E7"/>
    <w:rsid w:val="43897D21"/>
    <w:rsid w:val="448F3E42"/>
    <w:rsid w:val="44955DFC"/>
    <w:rsid w:val="44EC71A0"/>
    <w:rsid w:val="487F1A72"/>
    <w:rsid w:val="4C1B704D"/>
    <w:rsid w:val="4C435427"/>
    <w:rsid w:val="4EAF779E"/>
    <w:rsid w:val="50B51926"/>
    <w:rsid w:val="51652CEE"/>
    <w:rsid w:val="524466D3"/>
    <w:rsid w:val="53167DCA"/>
    <w:rsid w:val="54C942F7"/>
    <w:rsid w:val="57651AEC"/>
    <w:rsid w:val="59DE33BD"/>
    <w:rsid w:val="5C7E6F8C"/>
    <w:rsid w:val="5D7A18E5"/>
    <w:rsid w:val="5EEA3696"/>
    <w:rsid w:val="5F255268"/>
    <w:rsid w:val="61071886"/>
    <w:rsid w:val="61761796"/>
    <w:rsid w:val="63043035"/>
    <w:rsid w:val="6BF52DE2"/>
    <w:rsid w:val="6C177E43"/>
    <w:rsid w:val="6EDC6A3D"/>
    <w:rsid w:val="751705B3"/>
    <w:rsid w:val="7564157C"/>
    <w:rsid w:val="75F460FB"/>
    <w:rsid w:val="78970A45"/>
    <w:rsid w:val="789C5875"/>
    <w:rsid w:val="7C9F472D"/>
    <w:rsid w:val="7CF63B6E"/>
    <w:rsid w:val="7D9E4380"/>
    <w:rsid w:val="7F494437"/>
    <w:rsid w:val="7FD850A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semiHidden/>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Body Text Indent"/>
    <w:basedOn w:val="1"/>
    <w:qFormat/>
    <w:uiPriority w:val="0"/>
    <w:pPr>
      <w:ind w:firstLine="630"/>
    </w:pPr>
    <w:rPr>
      <w:rFonts w:ascii="宋体"/>
      <w:sz w:val="32"/>
      <w:szCs w:val="20"/>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Body Text First Indent 2"/>
    <w:basedOn w:val="2"/>
    <w:qFormat/>
    <w:uiPriority w:val="0"/>
    <w:pPr>
      <w:ind w:leftChars="0" w:firstLine="210"/>
    </w:pPr>
    <w:rPr>
      <w:szCs w:val="20"/>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
    <w:name w:val="No Spacing"/>
    <w:basedOn w:val="1"/>
    <w:qFormat/>
    <w:uiPriority w:val="1"/>
    <w:pPr>
      <w:widowControl/>
      <w:snapToGrid w:val="0"/>
      <w:contextualSpacing/>
      <w:jc w:val="left"/>
    </w:pPr>
    <w:rPr>
      <w:kern w:val="0"/>
      <w:sz w:val="21"/>
      <w:szCs w:val="22"/>
      <w:lang w:eastAsia="en-US" w:bidi="en-US"/>
    </w:rPr>
  </w:style>
  <w:style w:type="paragraph" w:customStyle="1" w:styleId="10">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8</Pages>
  <Words>2912</Words>
  <Characters>3256</Characters>
  <Lines>0</Lines>
  <Paragraphs>0</Paragraphs>
  <TotalTime>16</TotalTime>
  <ScaleCrop>false</ScaleCrop>
  <LinksUpToDate>false</LinksUpToDate>
  <CharactersWithSpaces>3305</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2022-07-25T08:31:00Z</dcterms:created>
  <dc:creator>Administrator</dc:creator>
  <cp:lastModifiedBy>WPS_1670902935</cp:lastModifiedBy>
  <dcterms:modified xsi:type="dcterms:W3CDTF">2023-09-19T08:26:50Z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D9107AF6F7EC4A3F9E90F689C8E662A0_12</vt:lpwstr>
  </property>
</Properties>
</file>