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pStyle w:val="11"/>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imes New Roman" w:hAnsi="Times New Roman" w:eastAsia="宋体" w:cs="宋体"/>
          <w:b/>
          <w:bCs w:val="0"/>
          <w:caps w:val="0"/>
          <w:smallCaps w:val="0"/>
          <w:color w:val="auto"/>
          <w:sz w:val="48"/>
          <w:szCs w:val="48"/>
          <w:lang w:val="en-US" w:eastAsia="zh-CN"/>
        </w:rPr>
      </w:pPr>
      <w:r>
        <w:rPr>
          <w:rFonts w:hint="eastAsia" w:ascii="Times New Roman" w:hAnsi="Times New Roman" w:eastAsia="宋体" w:cs="宋体"/>
          <w:b/>
          <w:bCs w:val="0"/>
          <w:caps w:val="0"/>
          <w:smallCaps w:val="0"/>
          <w:color w:val="auto"/>
          <w:sz w:val="48"/>
          <w:szCs w:val="48"/>
          <w:lang w:val="en-US" w:eastAsia="zh-CN"/>
        </w:rPr>
        <w:t>贵安新区城市综合体三人行桥项目</w:t>
      </w:r>
    </w:p>
    <w:p>
      <w:pPr>
        <w:jc w:val="center"/>
        <w:rPr>
          <w:rFonts w:hint="eastAsia" w:ascii="Times New Roman" w:hAnsi="Times New Roman" w:eastAsia="宋体" w:cs="宋体"/>
          <w:b/>
          <w:bCs w:val="0"/>
          <w:caps w:val="0"/>
          <w:smallCaps w:val="0"/>
          <w:color w:val="auto"/>
          <w:kern w:val="2"/>
          <w:sz w:val="48"/>
          <w:szCs w:val="48"/>
          <w:lang w:val="en-US" w:eastAsia="zh-CN" w:bidi="ar-SA"/>
        </w:rPr>
      </w:pPr>
      <w:r>
        <w:rPr>
          <w:rFonts w:hint="eastAsia" w:ascii="Times New Roman" w:hAnsi="Times New Roman" w:eastAsia="宋体" w:cs="宋体"/>
          <w:b/>
          <w:bCs w:val="0"/>
          <w:caps w:val="0"/>
          <w:smallCaps w:val="0"/>
          <w:color w:val="auto"/>
          <w:sz w:val="48"/>
          <w:szCs w:val="48"/>
          <w:lang w:val="en-US" w:eastAsia="zh-CN"/>
        </w:rPr>
        <w:t>2#桥钢结构安</w:t>
      </w:r>
      <w:r>
        <w:rPr>
          <w:rFonts w:hint="eastAsia" w:ascii="Times New Roman" w:hAnsi="Times New Roman" w:eastAsia="宋体" w:cs="宋体"/>
          <w:b/>
          <w:bCs w:val="0"/>
          <w:caps w:val="0"/>
          <w:smallCaps w:val="0"/>
          <w:color w:val="auto"/>
          <w:kern w:val="2"/>
          <w:sz w:val="48"/>
          <w:szCs w:val="48"/>
          <w:lang w:val="en-US" w:eastAsia="zh-CN" w:bidi="ar-SA"/>
        </w:rPr>
        <w:t>装工程招标文件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pStyle w:val="11"/>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贵安新区城市综</w:t>
      </w:r>
      <w:r>
        <w:rPr>
          <w:rFonts w:hint="eastAsia" w:ascii="宋体" w:eastAsia="宋体" w:cs="宋体"/>
          <w:color w:val="auto"/>
          <w:sz w:val="28"/>
          <w:szCs w:val="28"/>
          <w:lang w:val="en-US" w:eastAsia="zh-CN"/>
        </w:rPr>
        <w:t>合</w:t>
      </w:r>
      <w:r>
        <w:rPr>
          <w:rFonts w:hint="eastAsia" w:ascii="宋体" w:hAnsi="宋体" w:eastAsia="宋体" w:cs="宋体"/>
          <w:color w:val="auto"/>
          <w:sz w:val="28"/>
          <w:szCs w:val="28"/>
          <w:lang w:val="en-US" w:eastAsia="zh-CN"/>
        </w:rPr>
        <w:t>体三人行桥项目2#桥钢结构工程人工劳务安装施工</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工程名称：贵安新区城市综</w:t>
      </w:r>
      <w:r>
        <w:rPr>
          <w:rFonts w:hint="eastAsia" w:ascii="宋体" w:eastAsia="宋体" w:cs="宋体"/>
          <w:color w:val="auto"/>
          <w:sz w:val="28"/>
          <w:szCs w:val="28"/>
          <w:lang w:val="en-US" w:eastAsia="zh-CN"/>
        </w:rPr>
        <w:t>合</w:t>
      </w:r>
      <w:r>
        <w:rPr>
          <w:rFonts w:hint="eastAsia" w:ascii="宋体" w:hAnsi="宋体" w:eastAsia="宋体" w:cs="宋体"/>
          <w:color w:val="auto"/>
          <w:sz w:val="28"/>
          <w:szCs w:val="28"/>
          <w:lang w:val="en-US" w:eastAsia="zh-CN"/>
        </w:rPr>
        <w:t>体三人行桥项目2#桥钢结构工程人工劳务安装施工；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工程地址：贵阳市贵安新区；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招标范围：钢箱梁人工劳务安装施工；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计划开工日期：2024年4月10日（具体以甲方开工令为准）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工期要求：36天；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2.6 工程量：钢箱梁511.890t，临时支墩200.000t，详见施工图及施工方案</w:t>
      </w:r>
      <w:r>
        <w:rPr>
          <w:rFonts w:hint="eastAsia" w:ascii="宋体" w:hAnsi="宋体" w:eastAsia="宋体" w:cs="宋体"/>
          <w:color w:val="auto"/>
          <w:sz w:val="28"/>
          <w:szCs w:val="28"/>
          <w:lang w:val="en-US" w:eastAsia="zh-CN"/>
        </w:rPr>
        <w:t>（最终以实际安装工程量为准）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投标单位根据自身情况填写最终报价（不含税）。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3.2该综合单价是由投标人按照招标文件、承包范围、合同条款、现场条件、施工方案等资料和实际情况进行投标报价并经招标人确认、双方协商一致后的综合单价。</w:t>
      </w:r>
    </w:p>
    <w:p>
      <w:pPr>
        <w:spacing w:line="560" w:lineRule="exact"/>
        <w:ind w:firstLine="560" w:firstLineChars="200"/>
        <w:jc w:val="left"/>
        <w:rPr>
          <w:rFonts w:hint="eastAsia"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3.3</w:t>
      </w:r>
      <w:r>
        <w:rPr>
          <w:rFonts w:hint="eastAsia" w:ascii="宋体" w:hAnsi="宋体"/>
          <w:sz w:val="28"/>
          <w:szCs w:val="28"/>
          <w:u w:val="single"/>
        </w:rPr>
        <w:t>最高投标限价</w:t>
      </w:r>
      <w:r>
        <w:rPr>
          <w:rFonts w:hint="eastAsia" w:ascii="宋体" w:hAnsi="宋体"/>
          <w:sz w:val="28"/>
          <w:szCs w:val="28"/>
          <w:u w:val="single"/>
          <w:lang w:eastAsia="zh-CN"/>
        </w:rPr>
        <w:t>：</w:t>
      </w:r>
      <w:r>
        <w:rPr>
          <w:rFonts w:hint="eastAsia" w:ascii="宋体" w:hAnsi="宋体"/>
          <w:sz w:val="28"/>
          <w:szCs w:val="28"/>
          <w:u w:val="single"/>
          <w:lang w:val="en-US" w:eastAsia="zh-CN"/>
        </w:rPr>
        <w:t>钢结构部分单价1253.00元/t，栏杆777.00元/t，锚栓14.56元/套。以上均为不含税价格</w:t>
      </w:r>
      <w:r>
        <w:rPr>
          <w:rFonts w:hint="eastAsia" w:ascii="宋体" w:hAnsi="宋体"/>
          <w:color w:val="000000"/>
          <w:sz w:val="28"/>
          <w:szCs w:val="28"/>
          <w:u w:val="single"/>
          <w:lang w:val="en-US" w:eastAsia="zh-CN"/>
        </w:rPr>
        <w:t>。</w:t>
      </w:r>
    </w:p>
    <w:p>
      <w:pPr>
        <w:spacing w:line="560" w:lineRule="exact"/>
        <w:ind w:firstLine="560" w:firstLineChars="200"/>
        <w:jc w:val="left"/>
        <w:rPr>
          <w:rFonts w:hint="default" w:ascii="宋体" w:hAnsi="宋体"/>
          <w:color w:val="000000"/>
          <w:sz w:val="28"/>
          <w:szCs w:val="28"/>
          <w:u w:val="single"/>
          <w:lang w:val="en-US" w:eastAsia="zh-CN"/>
        </w:rPr>
      </w:pPr>
      <w:r>
        <w:rPr>
          <w:rFonts w:hint="eastAsia" w:ascii="宋体" w:hAnsi="宋体" w:eastAsia="宋体" w:cs="宋体"/>
          <w:color w:val="auto"/>
          <w:sz w:val="28"/>
          <w:szCs w:val="28"/>
          <w:u w:val="single"/>
          <w:lang w:val="en-US" w:eastAsia="zh-CN"/>
        </w:rPr>
        <w:t>3.4须提供增值税专用发票。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本项目实施安装的2#人行桥位于贵安新区城市综合体（三）项目内，横跨滴水河，连接综合体（三）二号地块和三号地块。贵安城市综合体（三）位于湖潮乡兰花坡村，场区向南5公里为贵安新区管委会，向北7公里为清镇市。主桥跨径布置为</w:t>
      </w:r>
      <w:r>
        <w:rPr>
          <w:rFonts w:hint="eastAsia" w:ascii="宋体" w:hAnsi="宋体" w:eastAsia="宋体" w:cs="宋体"/>
          <w:color w:val="auto"/>
          <w:sz w:val="24"/>
          <w:szCs w:val="24"/>
          <w:lang w:val="en-US" w:eastAsia="zh-CN"/>
        </w:rPr>
        <w:t>(5.3+27.4+49.6+13.502)m</w:t>
      </w:r>
      <w:r>
        <w:rPr>
          <w:rFonts w:hint="eastAsia" w:ascii="宋体" w:hAnsi="宋体" w:eastAsia="宋体" w:cs="宋体"/>
          <w:color w:val="auto"/>
          <w:sz w:val="28"/>
          <w:szCs w:val="28"/>
          <w:lang w:val="en-US" w:eastAsia="zh-CN"/>
        </w:rPr>
        <w:t>,全长95.802m,主桥为上承式钢拱桥,主桥宽度6.04m。两侧设置坡道桥,主跨跨径为48.181m,为下承式钢拱桥,坡道桥宽度2.07m。现场所有钢箱梁安装均采用临时支墩原位吊装。招标要求为投标人负责人钢箱梁现场安装所需的一切人工、设备、材料等所有现场安装工作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5.2、钢箱梁安装人工：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负责钢箱梁安装焊接、包括调平钢板、限位、钢箱梁等所有有关构件的现场吊装、拼装、焊接、测量控制等工序，投标人负责自购所需的全部工具设备和辅料费（不含高强螺栓、码板，临时支墩预埋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（2）临时支墩、现场胎架等临时设施制作、安装、拆除及所有材料现场转运、装卸等工作（临时支墩材料由甲方提供）；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（3）投标人负责制作、收集、整理及保管施工现场安装、焊接、检测等所有工作的工序报验资料及竣工验收所需的相关资料。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（5）投标人负责自购所需的全部工具和耗材（焊丝由甲方提供），以及所有辅料保管、安装、焊接、临时支墩的现场安装、拆除，施工人员食宿、施工用电措施、水电、保险、管理、利润、税金等所有费用。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（6）投标人负责成品保护、后期维修保养以及建筑垃圾外运、人工、人员劳保安全防护用品、人员保险、吃住、交通费用。准备竣工验收资料，协助甲方竣工验收，工人设备数量必须满足施工工期要求。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5.3、钢箱梁安装吊装设备：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负责包括但不限于图纸所示钢箱梁现场吊装、装卸、临时支墩安拆等吊装工作。投标方提供满足施工要求的汽车吊进行吊装服务或配属服务。根据施工方案要求需使用若干台汽车吊，最小需要25t汽车吊，最大需要500t汽车吊，最大需要汽车吊规格不限于500t。具体所需吊车型号、数量及进场时间根据现场实际施工需求提供，配合满足钢箱梁其他班组施工。工人设备数量必须满足施工工期要求；并承担相应安全、工期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（2）投标人自行负责吊装施工人员食宿费、施工用水用电措施费、水电费、保险费、管理费、利润、税金等所有费用，机械设备的进出场费、维修保养费、油费等。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5.4、钢箱梁安装现场油漆涂装：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（1）投标人包括但不限于图纸所示钢箱梁面漆涂装、钢箱梁内外面焊缝补漆、防腐、防锈等工作（油漆由甲方负责）。投标人自带施工所需全部工具设备（包含登高车），工人设备数量必须满足施工工期要求。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投标人负责自购所需的全部工具和耗材，高空作业、劳保安全防护用品、后期维修保养以及建筑垃圾外运、现场材料保管、施工人员食宿、施工用电措施、水电、保险、管理、利润、税金、协助甲方竣工验收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5.5、钢箱梁现场安装所有施工内容，以综合固定单价包干形式承包。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5.7、投标人技术质量要求：按国家现行的钢结构工程质量验收规范（GB50205-2001）、《钢结构焊接规范》（GB50661-2011）、《公路钢结构桥梁设计规范》（JTG D64-2015）、《市政工程施工组织设计》（GB/T50903-2013）、《高处作业分级》（GB/T3608-2008）等相关质量验收规范评定标准验收合格且满足甲方验收要求，检验批、分项、分部工程施工质量检验合格率必须达到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6.5</w:t>
      </w:r>
      <w:r>
        <w:rPr>
          <w:rFonts w:hint="eastAsia" w:ascii="宋体" w:hAnsi="宋体" w:eastAsia="宋体" w:cs="宋体"/>
          <w:color w:val="auto"/>
          <w:sz w:val="28"/>
          <w:szCs w:val="28"/>
          <w:lang w:val="en-US" w:eastAsia="zh-CN"/>
        </w:rPr>
        <w:t>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2024年4月10日上午9点</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开标时间：2024年4月10日上午11点；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提供项目负责人及联系方式，近年已施工过的类似工程的施工业绩及其他施工业绩，在建工程情况，施工组织设计等；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b/>
          <w:bCs/>
          <w:sz w:val="32"/>
          <w:szCs w:val="32"/>
          <w:lang w:val="en-US" w:eastAsia="zh-CN"/>
        </w:rPr>
      </w:pPr>
      <w:r>
        <w:rPr>
          <w:rFonts w:hint="eastAsia" w:ascii="宋体" w:hAnsi="宋体" w:eastAsia="宋体" w:cs="宋体"/>
          <w:sz w:val="28"/>
          <w:szCs w:val="28"/>
          <w:highlight w:val="none"/>
          <w:lang w:val="en-US" w:eastAsia="zh-CN"/>
        </w:rPr>
        <w:t>2024年4月7日</w:t>
      </w:r>
      <w:r>
        <w:rPr>
          <w:rFonts w:hint="eastAsia" w:asciiTheme="majorEastAsia" w:hAnsiTheme="majorEastAsia" w:eastAsiaTheme="majorEastAsia" w:cstheme="majorEastAsia"/>
          <w:sz w:val="28"/>
          <w:szCs w:val="28"/>
          <w:highlight w:val="none"/>
          <w:lang w:val="en-US" w:eastAsia="zh-CN"/>
        </w:rPr>
        <w:t xml:space="preserve">   </w:t>
      </w: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钢箱梁安装</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4"/>
                <w:szCs w:val="24"/>
                <w:vertAlign w:val="baseline"/>
                <w:lang w:val="en-US" w:eastAsia="zh-CN"/>
              </w:rPr>
              <w:t>增值税</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请注明增值税率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right"/>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宋体" w:hAnsi="宋体" w:eastAsia="宋体" w:cs="宋体"/>
          <w:b/>
          <w:sz w:val="24"/>
        </w:rPr>
      </w:pPr>
    </w:p>
    <w:p>
      <w:pPr>
        <w:spacing w:line="300" w:lineRule="auto"/>
        <w:jc w:val="center"/>
        <w:rPr>
          <w:rFonts w:hint="eastAsia" w:ascii="宋体" w:hAnsi="宋体" w:eastAsia="宋体" w:cs="宋体"/>
        </w:rPr>
      </w:pPr>
      <w:r>
        <w:rPr>
          <w:rFonts w:hint="eastAsia" w:ascii="宋体" w:hAnsi="宋体" w:eastAsia="宋体" w:cs="宋体"/>
          <w:b/>
          <w:sz w:val="24"/>
        </w:rPr>
        <w:t>投  标  函</w:t>
      </w:r>
    </w:p>
    <w:p>
      <w:pPr>
        <w:spacing w:line="300" w:lineRule="auto"/>
        <w:rPr>
          <w:rFonts w:hint="eastAsia" w:ascii="宋体" w:hAnsi="宋体" w:eastAsia="宋体" w:cs="宋体"/>
        </w:rPr>
      </w:pPr>
      <w:r>
        <w:rPr>
          <w:rFonts w:hint="eastAsia" w:ascii="宋体" w:hAnsi="宋体" w:eastAsia="宋体" w:cs="宋体"/>
          <w:b/>
          <w:sz w:val="24"/>
        </w:rPr>
        <w:t>致：</w:t>
      </w:r>
      <w:r>
        <w:rPr>
          <w:rFonts w:hint="eastAsia" w:ascii="宋体" w:hAnsi="宋体" w:eastAsia="宋体" w:cs="宋体"/>
          <w:sz w:val="24"/>
          <w:u w:val="single"/>
        </w:rPr>
        <w:t> （招标人）                 </w:t>
      </w:r>
    </w:p>
    <w:p>
      <w:pPr>
        <w:spacing w:line="300" w:lineRule="auto"/>
        <w:rPr>
          <w:rFonts w:hint="eastAsia" w:ascii="宋体" w:hAnsi="宋体" w:eastAsia="宋体" w:cs="宋体"/>
        </w:rPr>
      </w:pPr>
      <w:r>
        <w:rPr>
          <w:rFonts w:hint="eastAsia" w:ascii="宋体" w:hAnsi="宋体" w:eastAsia="宋体" w:cs="宋体"/>
          <w:sz w:val="24"/>
        </w:rPr>
        <w:t>1、根据你方招标工程项目编号为</w:t>
      </w:r>
      <w:r>
        <w:rPr>
          <w:rFonts w:hint="eastAsia" w:ascii="宋体" w:hAnsi="宋体" w:eastAsia="宋体" w:cs="宋体"/>
          <w:sz w:val="24"/>
          <w:u w:val="single"/>
        </w:rPr>
        <w:t>  （招标编号）  </w:t>
      </w:r>
      <w:r>
        <w:rPr>
          <w:rFonts w:hint="eastAsia" w:ascii="宋体" w:hAnsi="宋体" w:eastAsia="宋体" w:cs="宋体"/>
          <w:sz w:val="24"/>
        </w:rPr>
        <w:t>的</w:t>
      </w:r>
      <w:r>
        <w:rPr>
          <w:rFonts w:hint="eastAsia" w:ascii="宋体" w:hAnsi="宋体" w:eastAsia="宋体" w:cs="宋体"/>
          <w:sz w:val="24"/>
          <w:u w:val="single"/>
        </w:rPr>
        <w:t>   （工程名称）    </w:t>
      </w:r>
      <w:r>
        <w:rPr>
          <w:rFonts w:hint="eastAsia" w:ascii="宋体" w:hAnsi="宋体" w:eastAsia="宋体" w:cs="宋体"/>
          <w:sz w:val="24"/>
        </w:rPr>
        <w:t>招标文件，遵照有关规定，经踏勘项目现场和研究上述招标文件的投标须知、合同条款、图纸、工程建设标准及其他有关文件后，我方愿以人民币</w:t>
      </w:r>
      <w:r>
        <w:rPr>
          <w:rFonts w:hint="eastAsia" w:ascii="宋体" w:hAnsi="宋体" w:eastAsia="宋体" w:cs="宋体"/>
          <w:sz w:val="24"/>
          <w:u w:val="single"/>
        </w:rPr>
        <w:t>                 </w:t>
      </w:r>
      <w:r>
        <w:rPr>
          <w:rFonts w:hint="eastAsia" w:ascii="宋体" w:hAnsi="宋体" w:eastAsia="宋体" w:cs="宋体"/>
          <w:sz w:val="24"/>
        </w:rPr>
        <w:t>万元的投标报价并按上述图纸、合同条款、工程建设标准和技术规范书的条件要求承包上述工程的施工，并承担任何质量缺陷保修责任。</w:t>
      </w:r>
    </w:p>
    <w:p>
      <w:pPr>
        <w:spacing w:line="300" w:lineRule="auto"/>
        <w:rPr>
          <w:rFonts w:hint="eastAsia" w:ascii="宋体" w:hAnsi="宋体" w:eastAsia="宋体" w:cs="宋体"/>
        </w:rPr>
      </w:pPr>
      <w:r>
        <w:rPr>
          <w:rFonts w:hint="eastAsia" w:ascii="宋体" w:hAnsi="宋体" w:eastAsia="宋体" w:cs="宋体"/>
          <w:sz w:val="24"/>
        </w:rPr>
        <w:t>2、我方已详细审核全部招标文件，包括修改文件（如有时）及有关附件。</w:t>
      </w:r>
    </w:p>
    <w:p>
      <w:pPr>
        <w:spacing w:line="300" w:lineRule="auto"/>
        <w:rPr>
          <w:rFonts w:hint="eastAsia" w:ascii="宋体" w:hAnsi="宋体" w:eastAsia="宋体" w:cs="宋体"/>
        </w:rPr>
      </w:pPr>
      <w:r>
        <w:rPr>
          <w:rFonts w:hint="eastAsia" w:ascii="宋体" w:hAnsi="宋体" w:eastAsia="宋体" w:cs="宋体"/>
          <w:sz w:val="24"/>
        </w:rPr>
        <w:t>3、一旦我方中标，我方保证</w:t>
      </w:r>
      <w:r>
        <w:rPr>
          <w:rFonts w:hint="eastAsia" w:ascii="宋体" w:hAnsi="宋体" w:eastAsia="宋体" w:cs="宋体"/>
          <w:sz w:val="24"/>
          <w:u w:val="single"/>
        </w:rPr>
        <w:t>      年   月   日前</w:t>
      </w:r>
      <w:r>
        <w:rPr>
          <w:rFonts w:hint="eastAsia" w:ascii="宋体" w:hAnsi="宋体" w:eastAsia="宋体" w:cs="宋体"/>
          <w:sz w:val="24"/>
        </w:rPr>
        <w:t>完成并移交全部工程。我方承诺工程质量达到</w:t>
      </w:r>
      <w:r>
        <w:rPr>
          <w:rFonts w:hint="eastAsia" w:ascii="宋体" w:hAnsi="宋体" w:eastAsia="宋体" w:cs="宋体"/>
          <w:sz w:val="24"/>
          <w:u w:val="single"/>
        </w:rPr>
        <w:t>         </w:t>
      </w:r>
      <w:r>
        <w:rPr>
          <w:rFonts w:hint="eastAsia" w:ascii="宋体" w:hAnsi="宋体" w:eastAsia="宋体" w:cs="宋体"/>
          <w:sz w:val="24"/>
        </w:rPr>
        <w:t>。</w:t>
      </w:r>
    </w:p>
    <w:p>
      <w:pPr>
        <w:spacing w:line="300" w:lineRule="auto"/>
        <w:rPr>
          <w:rFonts w:hint="eastAsia" w:ascii="宋体" w:hAnsi="宋体" w:eastAsia="宋体" w:cs="宋体"/>
        </w:rPr>
      </w:pPr>
      <w:r>
        <w:rPr>
          <w:rFonts w:hint="eastAsia" w:ascii="宋体" w:hAnsi="宋体" w:eastAsia="宋体" w:cs="宋体"/>
          <w:sz w:val="24"/>
        </w:rPr>
        <w:t>4、我方同意所提交的投标文件在招标文件的投标须知中规定的投标有效期内有效，在此期间内如果中标，我方将受此约束。</w:t>
      </w:r>
    </w:p>
    <w:p>
      <w:pPr>
        <w:spacing w:line="300" w:lineRule="auto"/>
        <w:rPr>
          <w:rFonts w:hint="eastAsia" w:ascii="宋体" w:hAnsi="宋体" w:eastAsia="宋体" w:cs="宋体"/>
        </w:rPr>
      </w:pPr>
      <w:r>
        <w:rPr>
          <w:rFonts w:hint="eastAsia" w:ascii="宋体" w:hAnsi="宋体" w:eastAsia="宋体" w:cs="宋体"/>
          <w:sz w:val="24"/>
        </w:rPr>
        <w:t>5、除非另外达成协议并生效，你方的中标通知书和本投标文件将成为约束双方的合同文件的组成部分。</w:t>
      </w:r>
    </w:p>
    <w:p>
      <w:pPr>
        <w:spacing w:line="300" w:lineRule="auto"/>
        <w:rPr>
          <w:rFonts w:hint="eastAsia" w:ascii="宋体" w:hAnsi="宋体" w:eastAsia="宋体" w:cs="宋体"/>
        </w:rPr>
      </w:pPr>
      <w:r>
        <w:rPr>
          <w:rFonts w:hint="eastAsia" w:ascii="宋体" w:hAnsi="宋体" w:eastAsia="宋体" w:cs="宋体"/>
          <w:sz w:val="24"/>
        </w:rPr>
        <w:t>投 标 人：</w:t>
      </w:r>
      <w:r>
        <w:rPr>
          <w:rFonts w:hint="eastAsia" w:ascii="宋体" w:hAnsi="宋体" w:eastAsia="宋体" w:cs="宋体"/>
          <w:sz w:val="24"/>
          <w:u w:val="single"/>
        </w:rPr>
        <w:t>                                </w:t>
      </w:r>
      <w:r>
        <w:rPr>
          <w:rFonts w:hint="eastAsia" w:ascii="宋体" w:hAnsi="宋体" w:eastAsia="宋体" w:cs="宋体"/>
          <w:sz w:val="24"/>
        </w:rPr>
        <w:t>（盖章）</w:t>
      </w:r>
    </w:p>
    <w:p>
      <w:pPr>
        <w:spacing w:line="300" w:lineRule="auto"/>
        <w:rPr>
          <w:rFonts w:hint="eastAsia" w:ascii="宋体" w:hAnsi="宋体" w:eastAsia="宋体" w:cs="宋体"/>
        </w:rPr>
      </w:pPr>
      <w:r>
        <w:rPr>
          <w:rFonts w:hint="eastAsia" w:ascii="宋体" w:hAnsi="宋体" w:eastAsia="宋体" w:cs="宋体"/>
          <w:sz w:val="24"/>
        </w:rPr>
        <w:t>法定代表人或委托代理人：</w:t>
      </w:r>
      <w:r>
        <w:rPr>
          <w:rFonts w:hint="eastAsia" w:ascii="宋体" w:hAnsi="宋体" w:eastAsia="宋体" w:cs="宋体"/>
          <w:sz w:val="24"/>
          <w:u w:val="single"/>
        </w:rPr>
        <w:t>           </w:t>
      </w:r>
      <w:r>
        <w:rPr>
          <w:rFonts w:hint="eastAsia" w:ascii="宋体" w:hAnsi="宋体" w:eastAsia="宋体" w:cs="宋体"/>
          <w:sz w:val="24"/>
        </w:rPr>
        <w:t>（签字或盖章）</w:t>
      </w:r>
    </w:p>
    <w:p>
      <w:pPr>
        <w:spacing w:line="300" w:lineRule="auto"/>
        <w:rPr>
          <w:rFonts w:hint="eastAsia" w:ascii="宋体" w:hAnsi="宋体" w:eastAsia="宋体" w:cs="宋体"/>
        </w:rPr>
      </w:pPr>
      <w:r>
        <w:rPr>
          <w:rFonts w:hint="eastAsia" w:ascii="宋体" w:hAnsi="宋体" w:eastAsia="宋体" w:cs="宋体"/>
          <w:sz w:val="24"/>
        </w:rPr>
        <w:t>日期：</w:t>
      </w:r>
      <w:r>
        <w:rPr>
          <w:rFonts w:hint="eastAsia" w:ascii="宋体" w:hAnsi="宋体" w:eastAsia="宋体" w:cs="宋体"/>
          <w:sz w:val="24"/>
          <w:u w:val="single"/>
        </w:rPr>
        <w:t>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rPr>
          <w:rFonts w:hint="eastAsia" w:ascii="宋体" w:hAnsi="宋体" w:eastAsia="宋体" w:cs="宋体"/>
          <w:b/>
          <w:sz w:val="24"/>
        </w:rPr>
      </w:pPr>
    </w:p>
    <w:p>
      <w:pPr>
        <w:spacing w:line="30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spacing w:line="360" w:lineRule="auto"/>
        <w:jc w:val="center"/>
        <w:rPr>
          <w:rFonts w:hint="eastAsia" w:ascii="SimSun, STSong" w:hAnsi="SimSun, STSong" w:eastAsia="宋体"/>
          <w:b/>
          <w:sz w:val="24"/>
          <w:lang w:val="en-US" w:eastAsia="zh-CN"/>
        </w:rPr>
      </w:pPr>
      <w:r>
        <w:rPr>
          <w:rFonts w:hint="eastAsia" w:ascii="SimSun, STSong" w:hAnsi="SimSun, STSong" w:eastAsia="宋体"/>
          <w:b/>
          <w:sz w:val="24"/>
          <w:lang w:val="en-US" w:eastAsia="zh-CN"/>
        </w:rPr>
        <w:t xml:space="preserve"> </w:t>
      </w: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lang w:eastAsia="zh-CN"/>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lang w:eastAsia="zh-CN"/>
        </w:rPr>
        <w:t>）</w:t>
      </w:r>
      <w:r>
        <w:rPr>
          <w:rFonts w:hint="eastAsia" w:ascii="SimSun, STSong" w:hAnsi="SimSun, STSong" w:eastAsia="SimSun, STSong"/>
          <w:sz w:val="24"/>
        </w:rPr>
        <w:t>的</w:t>
      </w:r>
      <w:r>
        <w:rPr>
          <w:rFonts w:hint="eastAsia" w:ascii="SimSun, STSong" w:hAnsi="SimSun, STSong" w:eastAsia="宋体"/>
          <w:sz w:val="24"/>
          <w:lang w:eastAsia="zh-CN"/>
        </w:rPr>
        <w:t>（</w:t>
      </w:r>
      <w:r>
        <w:rPr>
          <w:rFonts w:hint="eastAsia" w:ascii="SimSun, STSong" w:hAnsi="SimSun, STSong" w:eastAsia="SimSun, STSong"/>
          <w:sz w:val="24"/>
          <w:u w:val="single"/>
        </w:rPr>
        <w:t>招标工程名称</w:t>
      </w:r>
      <w:r>
        <w:rPr>
          <w:rFonts w:hint="eastAsia" w:ascii="SimSun, STSong" w:hAnsi="SimSun, STSong" w:eastAsia="宋体"/>
          <w:sz w:val="24"/>
          <w:u w:val="single"/>
          <w:lang w:eastAsia="zh-CN"/>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宋体"/>
          <w:b/>
          <w:sz w:val="24"/>
          <w:lang w:val="en-US" w:eastAsia="zh-CN"/>
        </w:rPr>
      </w:pPr>
    </w:p>
    <w:p>
      <w:pPr>
        <w:spacing w:line="360" w:lineRule="auto"/>
        <w:rPr>
          <w:rFonts w:hint="eastAsia" w:ascii="SimSun, STSong" w:hAnsi="SimSun, STSong" w:eastAsia="宋体"/>
          <w:b/>
          <w:sz w:val="13"/>
          <w:szCs w:val="13"/>
          <w:lang w:val="en-US" w:eastAsia="zh-CN"/>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备注</w:t>
            </w:r>
          </w:p>
        </w:tc>
        <w:tc>
          <w:tcPr>
            <w:tcBorders>
              <w:top w:val="single" w:color="auto" w:sz="6" w:space="0"/>
              <w:left w:val="single" w:color="auto" w:sz="6" w:space="0"/>
              <w:bottom w:val="single" w:color="auto" w:sz="6" w:space="0"/>
              <w:right w:val="single" w:color="auto" w:sz="6" w:space="0"/>
            </w:tcBorders>
          </w:tcPr>
          <w:p/>
        </w:tc>
      </w:tr>
    </w:tbl>
    <w:p>
      <w:pPr>
        <w:spacing w:line="360" w:lineRule="auto"/>
        <w:rPr>
          <w:rFonts w:hint="eastAsia" w:ascii="宋体" w:hAnsi="宋体" w:eastAsia="宋体" w:cs="宋体"/>
        </w:rPr>
      </w:pPr>
      <w:r>
        <w:rPr>
          <w:rFonts w:hint="eastAsia" w:ascii="宋体" w:hAnsi="宋体" w:eastAsia="宋体" w:cs="宋体"/>
          <w:b/>
          <w:sz w:val="24"/>
        </w:rPr>
        <w:t>注：1.</w:t>
      </w:r>
      <w:r>
        <w:rPr>
          <w:rFonts w:hint="eastAsia" w:ascii="宋体" w:hAnsi="宋体" w:eastAsia="宋体" w:cs="宋体"/>
          <w:sz w:val="24"/>
        </w:rPr>
        <w:t>请加盖公章；表中所填写的</w:t>
      </w:r>
      <w:r>
        <w:rPr>
          <w:rFonts w:hint="eastAsia" w:ascii="宋体" w:hAnsi="宋体" w:eastAsia="宋体" w:cs="宋体"/>
          <w:color w:val="000000"/>
          <w:sz w:val="24"/>
        </w:rPr>
        <w:t>保证金汇款单位名称</w:t>
      </w:r>
      <w:r>
        <w:rPr>
          <w:rFonts w:hint="eastAsia" w:ascii="宋体" w:hAnsi="宋体" w:eastAsia="宋体" w:cs="宋体"/>
          <w:sz w:val="24"/>
        </w:rPr>
        <w:t>、开户行、账号等信息应与保证金汇款单相应内容一致；邮寄地址、邮编等内容也应与实际接收信息相一致。</w:t>
      </w:r>
    </w:p>
    <w:p>
      <w:pPr>
        <w:numPr>
          <w:ilvl w:val="0"/>
          <w:numId w:val="2"/>
        </w:numPr>
        <w:spacing w:line="360" w:lineRule="auto"/>
        <w:rPr>
          <w:rFonts w:hint="eastAsia" w:ascii="宋体" w:hAnsi="宋体" w:eastAsia="宋体" w:cs="宋体"/>
          <w:sz w:val="24"/>
        </w:rPr>
      </w:pPr>
      <w:r>
        <w:rPr>
          <w:rFonts w:hint="eastAsia" w:ascii="宋体" w:hAnsi="宋体" w:eastAsia="宋体" w:cs="宋体"/>
          <w:sz w:val="24"/>
        </w:rPr>
        <w:t>请附已付款有效凭据。</w:t>
      </w:r>
    </w:p>
    <w:p>
      <w:pPr>
        <w:widowControl w:val="0"/>
        <w:numPr>
          <w:ilvl w:val="0"/>
          <w:numId w:val="0"/>
        </w:numPr>
        <w:spacing w:line="360" w:lineRule="auto"/>
        <w:jc w:val="both"/>
        <w:rPr>
          <w:rFonts w:hint="eastAsia" w:ascii="宋体" w:hAnsi="宋体" w:eastAsia="宋体" w:cs="宋体"/>
          <w:sz w:val="24"/>
          <w:lang w:val="en-US" w:eastAsia="zh-CN"/>
        </w:rPr>
      </w:pPr>
    </w:p>
    <w:p>
      <w:pPr>
        <w:widowControl w:val="0"/>
        <w:numPr>
          <w:ilvl w:val="0"/>
          <w:numId w:val="0"/>
        </w:numPr>
        <w:spacing w:line="360" w:lineRule="auto"/>
        <w:jc w:val="both"/>
        <w:rPr>
          <w:rFonts w:hint="eastAsia" w:ascii="宋体" w:hAnsi="宋体" w:eastAsia="宋体" w:cs="宋体"/>
          <w:sz w:val="24"/>
          <w:lang w:val="en-US" w:eastAsia="zh-CN"/>
        </w:rPr>
      </w:pPr>
      <w:r>
        <w:rPr>
          <w:rFonts w:hint="eastAsia"/>
          <w:b/>
          <w:bCs/>
          <w:sz w:val="32"/>
          <w:szCs w:val="32"/>
          <w:lang w:val="en-US" w:eastAsia="zh-CN"/>
        </w:rPr>
        <w:t>附件四 ：公司业绩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07FC08A"/>
    <w:multiLevelType w:val="singleLevel"/>
    <w:tmpl w:val="707FC08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MTQxN2YxMWY1MzI1M2ExYzE1MDQ4ZjMwZTljNDEifQ=="/>
  </w:docVars>
  <w:rsids>
    <w:rsidRoot w:val="00000000"/>
    <w:rsid w:val="0101457E"/>
    <w:rsid w:val="01610C6F"/>
    <w:rsid w:val="020118D3"/>
    <w:rsid w:val="02C656FE"/>
    <w:rsid w:val="02CD31BD"/>
    <w:rsid w:val="04057E29"/>
    <w:rsid w:val="048A72C7"/>
    <w:rsid w:val="05686002"/>
    <w:rsid w:val="058B39C0"/>
    <w:rsid w:val="064453D7"/>
    <w:rsid w:val="08550306"/>
    <w:rsid w:val="091D7025"/>
    <w:rsid w:val="097D0541"/>
    <w:rsid w:val="099C43EE"/>
    <w:rsid w:val="09F947D1"/>
    <w:rsid w:val="0A1C5823"/>
    <w:rsid w:val="0C177612"/>
    <w:rsid w:val="0C765C31"/>
    <w:rsid w:val="0CF377F7"/>
    <w:rsid w:val="0D320E5E"/>
    <w:rsid w:val="0DD153C2"/>
    <w:rsid w:val="0EE03DEF"/>
    <w:rsid w:val="103A4217"/>
    <w:rsid w:val="11FA7476"/>
    <w:rsid w:val="15381679"/>
    <w:rsid w:val="188070E8"/>
    <w:rsid w:val="19835C21"/>
    <w:rsid w:val="19982B19"/>
    <w:rsid w:val="1A642D06"/>
    <w:rsid w:val="1A7449DA"/>
    <w:rsid w:val="1C493415"/>
    <w:rsid w:val="1DC47503"/>
    <w:rsid w:val="1E935592"/>
    <w:rsid w:val="1F37098E"/>
    <w:rsid w:val="1F537332"/>
    <w:rsid w:val="20A144DE"/>
    <w:rsid w:val="21284ED0"/>
    <w:rsid w:val="21F934CC"/>
    <w:rsid w:val="23405C50"/>
    <w:rsid w:val="235E15CC"/>
    <w:rsid w:val="237A35CE"/>
    <w:rsid w:val="237F4AC2"/>
    <w:rsid w:val="23825C83"/>
    <w:rsid w:val="238505B2"/>
    <w:rsid w:val="23A83C63"/>
    <w:rsid w:val="24C56DC9"/>
    <w:rsid w:val="24CB2048"/>
    <w:rsid w:val="25D31001"/>
    <w:rsid w:val="25D704AF"/>
    <w:rsid w:val="28072F22"/>
    <w:rsid w:val="28654050"/>
    <w:rsid w:val="28E27689"/>
    <w:rsid w:val="2974382E"/>
    <w:rsid w:val="298768C3"/>
    <w:rsid w:val="29F4006F"/>
    <w:rsid w:val="2B503A09"/>
    <w:rsid w:val="2CA907D7"/>
    <w:rsid w:val="2D676BCB"/>
    <w:rsid w:val="2F8C2F0E"/>
    <w:rsid w:val="2FB12379"/>
    <w:rsid w:val="300D1087"/>
    <w:rsid w:val="31F5307C"/>
    <w:rsid w:val="34605121"/>
    <w:rsid w:val="34FE6E4B"/>
    <w:rsid w:val="35D2252B"/>
    <w:rsid w:val="369330FD"/>
    <w:rsid w:val="37F23569"/>
    <w:rsid w:val="38F772FC"/>
    <w:rsid w:val="39C66799"/>
    <w:rsid w:val="3B3861D7"/>
    <w:rsid w:val="3CFD09C6"/>
    <w:rsid w:val="3F134E07"/>
    <w:rsid w:val="3F56036D"/>
    <w:rsid w:val="40C655E7"/>
    <w:rsid w:val="41447516"/>
    <w:rsid w:val="42E82C1A"/>
    <w:rsid w:val="448F3E42"/>
    <w:rsid w:val="44955DFC"/>
    <w:rsid w:val="44EC71A0"/>
    <w:rsid w:val="47657488"/>
    <w:rsid w:val="487F1A72"/>
    <w:rsid w:val="49B218B6"/>
    <w:rsid w:val="4ABF34BD"/>
    <w:rsid w:val="4B8E31F1"/>
    <w:rsid w:val="4BA56AFE"/>
    <w:rsid w:val="4C1B704D"/>
    <w:rsid w:val="4C4E0DE4"/>
    <w:rsid w:val="4EA66C7B"/>
    <w:rsid w:val="50B51926"/>
    <w:rsid w:val="513D513B"/>
    <w:rsid w:val="51652CEE"/>
    <w:rsid w:val="53167DCA"/>
    <w:rsid w:val="54C942F7"/>
    <w:rsid w:val="5549471D"/>
    <w:rsid w:val="554C0D69"/>
    <w:rsid w:val="56894F80"/>
    <w:rsid w:val="57651AEC"/>
    <w:rsid w:val="58235A8F"/>
    <w:rsid w:val="596C0CB3"/>
    <w:rsid w:val="59DE33BD"/>
    <w:rsid w:val="5A3A29AA"/>
    <w:rsid w:val="5B7240BF"/>
    <w:rsid w:val="5B8E1924"/>
    <w:rsid w:val="5C7E6F8C"/>
    <w:rsid w:val="5C7F7B1B"/>
    <w:rsid w:val="5D78353A"/>
    <w:rsid w:val="5D7A18E5"/>
    <w:rsid w:val="5DA55334"/>
    <w:rsid w:val="5EEA3696"/>
    <w:rsid w:val="5F255268"/>
    <w:rsid w:val="61096D16"/>
    <w:rsid w:val="61761796"/>
    <w:rsid w:val="63043035"/>
    <w:rsid w:val="63116703"/>
    <w:rsid w:val="63DB3684"/>
    <w:rsid w:val="65A94BEA"/>
    <w:rsid w:val="65C6174B"/>
    <w:rsid w:val="68810835"/>
    <w:rsid w:val="6B051CFD"/>
    <w:rsid w:val="6D16497E"/>
    <w:rsid w:val="6EF13F82"/>
    <w:rsid w:val="727D7636"/>
    <w:rsid w:val="751705B3"/>
    <w:rsid w:val="777C1844"/>
    <w:rsid w:val="78970A45"/>
    <w:rsid w:val="789C5875"/>
    <w:rsid w:val="78AF2513"/>
    <w:rsid w:val="79141E75"/>
    <w:rsid w:val="79B835CF"/>
    <w:rsid w:val="7A6E3CDA"/>
    <w:rsid w:val="7BA1656A"/>
    <w:rsid w:val="7C9F472D"/>
    <w:rsid w:val="7CF63B6E"/>
    <w:rsid w:val="7D9E4380"/>
    <w:rsid w:val="7F494437"/>
    <w:rsid w:val="7FC0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leftChars="0" w:firstLine="210"/>
    </w:pPr>
    <w:rPr>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autoRedefine/>
    <w:qFormat/>
    <w:uiPriority w:val="34"/>
    <w:pPr>
      <w:ind w:firstLine="420" w:firstLineChars="200"/>
    </w:pPr>
  </w:style>
  <w:style w:type="paragraph" w:customStyle="1" w:styleId="11">
    <w:name w:val="标题2"/>
    <w:basedOn w:val="1"/>
    <w:autoRedefine/>
    <w:qFormat/>
    <w:uiPriority w:val="0"/>
    <w:pPr>
      <w:spacing w:line="360" w:lineRule="auto"/>
      <w:jc w:val="center"/>
    </w:pPr>
    <w:rPr>
      <w:rFonts w:ascii="黑体" w:hAnsi="宋体" w:eastAsia="黑体"/>
      <w:bCs/>
      <w:color w:val="8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4085</Words>
  <Characters>4423</Characters>
  <Lines>0</Lines>
  <Paragraphs>0</Paragraphs>
  <TotalTime>1</TotalTime>
  <ScaleCrop>false</ScaleCrop>
  <LinksUpToDate>false</LinksUpToDate>
  <CharactersWithSpaces>4837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W...</cp:lastModifiedBy>
  <dcterms:modified xsi:type="dcterms:W3CDTF">2024-04-07T05:29:37Z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BCE82C91ED6B480C940754D769358D1A_13</vt:lpwstr>
  </property>
</Properties>
</file>